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77904">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bCs/>
          <w:color w:val="auto"/>
          <w:kern w:val="2"/>
          <w:sz w:val="32"/>
          <w:szCs w:val="32"/>
          <w:highlight w:val="none"/>
          <w:lang w:val="en-US" w:eastAsia="zh-CN" w:bidi="ar-SA"/>
        </w:rPr>
      </w:pPr>
      <w:r>
        <w:rPr>
          <w:rFonts w:hint="eastAsia" w:ascii="黑体" w:hAnsi="黑体" w:eastAsia="黑体" w:cs="黑体"/>
          <w:bCs/>
          <w:color w:val="auto"/>
          <w:kern w:val="2"/>
          <w:sz w:val="32"/>
          <w:szCs w:val="32"/>
          <w:highlight w:val="none"/>
          <w:lang w:val="en-US" w:eastAsia="zh-CN" w:bidi="ar-SA"/>
        </w:rPr>
        <w:t>附件3：</w:t>
      </w:r>
    </w:p>
    <w:p w14:paraId="0F393172">
      <w:pPr>
        <w:pStyle w:val="3"/>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_GBK" w:eastAsia="方正小标宋_GBK"/>
          <w:color w:val="auto"/>
          <w:spacing w:val="-4"/>
          <w:sz w:val="44"/>
          <w:szCs w:val="44"/>
          <w:highlight w:val="none"/>
        </w:rPr>
      </w:pPr>
      <w:r>
        <w:rPr>
          <w:rFonts w:hint="eastAsia" w:ascii="方正小标宋_GBK" w:eastAsia="方正小标宋_GBK"/>
          <w:color w:val="auto"/>
          <w:spacing w:val="-4"/>
          <w:sz w:val="44"/>
          <w:szCs w:val="44"/>
          <w:highlight w:val="none"/>
        </w:rPr>
        <w:t>房屋租赁合同</w:t>
      </w:r>
    </w:p>
    <w:p w14:paraId="4CAC3DDE">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黑体_GBK" w:hAnsi="仿宋" w:eastAsia="方正黑体_GBK" w:cs="仿宋"/>
          <w:color w:val="auto"/>
          <w:spacing w:val="-4"/>
          <w:szCs w:val="32"/>
          <w:highlight w:val="none"/>
        </w:rPr>
      </w:pPr>
      <w:r>
        <w:rPr>
          <w:rFonts w:hint="eastAsia" w:ascii="方正黑体_GBK" w:hAnsi="仿宋" w:eastAsia="方正黑体_GBK" w:cs="仿宋"/>
          <w:color w:val="auto"/>
          <w:spacing w:val="-4"/>
          <w:szCs w:val="32"/>
          <w:highlight w:val="none"/>
        </w:rPr>
        <w:t>出租方（甲方）：重庆市巴南建设（集团）有限公司</w:t>
      </w:r>
    </w:p>
    <w:p w14:paraId="18E593FC">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黑体_GBK" w:hAnsi="仿宋" w:eastAsia="方正黑体_GBK" w:cs="仿宋"/>
          <w:snapToGrid w:val="0"/>
          <w:color w:val="auto"/>
          <w:kern w:val="0"/>
          <w:szCs w:val="32"/>
          <w:highlight w:val="none"/>
          <w:lang w:eastAsia="zh-CN"/>
        </w:rPr>
      </w:pPr>
      <w:r>
        <w:rPr>
          <w:rFonts w:hint="eastAsia" w:ascii="方正黑体_GBK" w:hAnsi="仿宋" w:eastAsia="方正黑体_GBK" w:cs="仿宋"/>
          <w:snapToGrid w:val="0"/>
          <w:color w:val="auto"/>
          <w:kern w:val="0"/>
          <w:szCs w:val="32"/>
          <w:highlight w:val="none"/>
        </w:rPr>
        <w:t>法定代表人：</w:t>
      </w:r>
      <w:r>
        <w:rPr>
          <w:rFonts w:hint="eastAsia" w:ascii="方正黑体_GBK" w:hAnsi="仿宋" w:eastAsia="方正黑体_GBK" w:cs="仿宋"/>
          <w:snapToGrid w:val="0"/>
          <w:color w:val="auto"/>
          <w:kern w:val="0"/>
          <w:szCs w:val="32"/>
          <w:highlight w:val="none"/>
          <w:lang w:eastAsia="zh-CN"/>
        </w:rPr>
        <w:t>胡波</w:t>
      </w:r>
    </w:p>
    <w:p w14:paraId="4148C4D2">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黑体_GBK" w:hAnsi="仿宋" w:eastAsia="方正黑体_GBK" w:cs="仿宋"/>
          <w:color w:val="auto"/>
          <w:spacing w:val="-4"/>
          <w:szCs w:val="32"/>
          <w:highlight w:val="none"/>
        </w:rPr>
      </w:pPr>
      <w:r>
        <w:rPr>
          <w:rFonts w:hint="eastAsia" w:ascii="方正黑体_GBK" w:hAnsi="仿宋" w:eastAsia="方正黑体_GBK" w:cs="仿宋"/>
          <w:color w:val="auto"/>
          <w:spacing w:val="-4"/>
          <w:szCs w:val="32"/>
          <w:highlight w:val="none"/>
        </w:rPr>
        <w:t xml:space="preserve">承租方（乙方）：       </w:t>
      </w:r>
    </w:p>
    <w:p w14:paraId="3789D6C7">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黑体_GBK" w:hAnsi="仿宋" w:eastAsia="方正黑体_GBK" w:cs="仿宋"/>
          <w:snapToGrid w:val="0"/>
          <w:color w:val="auto"/>
          <w:kern w:val="0"/>
          <w:szCs w:val="32"/>
          <w:highlight w:val="none"/>
        </w:rPr>
      </w:pPr>
      <w:r>
        <w:rPr>
          <w:rFonts w:hint="eastAsia" w:ascii="方正黑体_GBK" w:hAnsi="仿宋" w:eastAsia="方正黑体_GBK" w:cs="仿宋"/>
          <w:color w:val="auto"/>
          <w:spacing w:val="-4"/>
          <w:szCs w:val="32"/>
          <w:highlight w:val="none"/>
        </w:rPr>
        <w:t>法定代表人：</w:t>
      </w:r>
      <w:r>
        <w:rPr>
          <w:rFonts w:hint="eastAsia" w:ascii="方正黑体_GBK" w:hAnsi="仿宋" w:eastAsia="方正黑体_GBK" w:cs="仿宋"/>
          <w:snapToGrid w:val="0"/>
          <w:color w:val="auto"/>
          <w:kern w:val="0"/>
          <w:szCs w:val="32"/>
          <w:highlight w:val="none"/>
        </w:rPr>
        <w:t xml:space="preserve"> </w:t>
      </w:r>
    </w:p>
    <w:p w14:paraId="7346E6B6">
      <w:pPr>
        <w:pStyle w:val="3"/>
        <w:keepNext w:val="0"/>
        <w:keepLines w:val="0"/>
        <w:pageBreakBefore w:val="0"/>
        <w:widowControl w:val="0"/>
        <w:kinsoku/>
        <w:wordWrap/>
        <w:overflowPunct/>
        <w:topLinePunct w:val="0"/>
        <w:autoSpaceDE/>
        <w:autoSpaceDN/>
        <w:bidi w:val="0"/>
        <w:adjustRightInd/>
        <w:snapToGrid/>
        <w:spacing w:line="520" w:lineRule="exact"/>
        <w:ind w:firstLine="424" w:firstLineChars="200"/>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 xml:space="preserve">根据《中华人民共和国民法典》及相关法律、法规的规定，甲、乙双方在平等、自愿的基础上，就乙方承租甲方可依法出租的房屋相关事宜，订立本合同，以便共同遵守： </w:t>
      </w:r>
    </w:p>
    <w:p w14:paraId="2DE88AAE">
      <w:pPr>
        <w:pStyle w:val="3"/>
        <w:keepNext w:val="0"/>
        <w:keepLines w:val="0"/>
        <w:pageBreakBefore w:val="0"/>
        <w:widowControl w:val="0"/>
        <w:kinsoku/>
        <w:wordWrap/>
        <w:overflowPunct/>
        <w:topLinePunct w:val="0"/>
        <w:autoSpaceDE/>
        <w:autoSpaceDN/>
        <w:bidi w:val="0"/>
        <w:adjustRightInd/>
        <w:snapToGrid/>
        <w:spacing w:line="520" w:lineRule="exact"/>
        <w:ind w:firstLine="424" w:firstLineChars="200"/>
        <w:textAlignment w:val="auto"/>
        <w:rPr>
          <w:rFonts w:hint="eastAsia" w:ascii="方正仿宋_GBK" w:hAnsi="仿宋" w:eastAsia="方正仿宋_GBK" w:cs="仿宋"/>
          <w:b/>
          <w:color w:val="auto"/>
          <w:spacing w:val="-4"/>
          <w:sz w:val="22"/>
          <w:szCs w:val="22"/>
          <w:highlight w:val="none"/>
        </w:rPr>
      </w:pPr>
      <w:r>
        <w:rPr>
          <w:rFonts w:hint="eastAsia" w:ascii="方正仿宋_GBK" w:hAnsi="仿宋" w:eastAsia="方正仿宋_GBK" w:cs="仿宋"/>
          <w:b/>
          <w:color w:val="auto"/>
          <w:spacing w:val="-4"/>
          <w:sz w:val="22"/>
          <w:szCs w:val="22"/>
          <w:highlight w:val="none"/>
        </w:rPr>
        <w:t>第一条 出租房屋基本情况</w:t>
      </w:r>
    </w:p>
    <w:p w14:paraId="4F250190">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K" w:hAnsi="仿宋" w:eastAsia="方正仿宋_GBK" w:cs="仿宋"/>
          <w:color w:val="auto"/>
          <w:spacing w:val="-4"/>
          <w:szCs w:val="32"/>
          <w:highlight w:val="none"/>
        </w:rPr>
      </w:pPr>
      <w:r>
        <w:rPr>
          <w:rFonts w:hint="eastAsia" w:ascii="方正仿宋_GBK" w:hAnsi="仿宋" w:eastAsia="方正仿宋_GBK" w:cs="仿宋"/>
          <w:color w:val="auto"/>
          <w:spacing w:val="-4"/>
          <w:sz w:val="22"/>
          <w:szCs w:val="22"/>
          <w:highlight w:val="none"/>
        </w:rPr>
        <w:t xml:space="preserve">   </w:t>
      </w:r>
      <w:r>
        <w:rPr>
          <w:rFonts w:hint="eastAsia" w:ascii="方正仿宋_GBK" w:hAnsi="仿宋" w:eastAsia="方正仿宋_GBK" w:cs="仿宋"/>
          <w:color w:val="auto"/>
          <w:spacing w:val="-4"/>
          <w:szCs w:val="32"/>
          <w:highlight w:val="none"/>
        </w:rPr>
        <w:t xml:space="preserve">  1.1</w:t>
      </w:r>
      <w:r>
        <w:rPr>
          <w:rFonts w:hint="eastAsia" w:ascii="方正仿宋_GBK" w:hAnsi="仿宋" w:eastAsia="方正仿宋_GBK" w:cs="仿宋"/>
          <w:color w:val="auto"/>
          <w:szCs w:val="32"/>
          <w:highlight w:val="none"/>
        </w:rPr>
        <w:t>房屋位于</w:t>
      </w:r>
      <w:r>
        <w:rPr>
          <w:rFonts w:hint="eastAsia" w:ascii="方正仿宋_GBK" w:hAnsi="仿宋" w:eastAsia="方正仿宋_GBK" w:cs="仿宋"/>
          <w:color w:val="auto"/>
          <w:spacing w:val="-4"/>
          <w:szCs w:val="32"/>
          <w:highlight w:val="none"/>
        </w:rPr>
        <w:t>：</w:t>
      </w:r>
      <w:r>
        <w:rPr>
          <w:rFonts w:hint="eastAsia" w:ascii="方正仿宋_GBK" w:hAnsi="仿宋" w:eastAsia="方正仿宋_GBK" w:cs="仿宋"/>
          <w:color w:val="auto"/>
          <w:spacing w:val="-4"/>
          <w:szCs w:val="32"/>
          <w:highlight w:val="none"/>
          <w:u w:val="single"/>
        </w:rPr>
        <w:t xml:space="preserve"> 重庆市江北区红砂碛26号附82号房屋 </w:t>
      </w:r>
      <w:r>
        <w:rPr>
          <w:rFonts w:hint="eastAsia" w:ascii="方正仿宋_GBK" w:hAnsi="仿宋" w:eastAsia="方正仿宋_GBK" w:cs="仿宋"/>
          <w:color w:val="auto"/>
          <w:spacing w:val="-4"/>
          <w:szCs w:val="32"/>
          <w:highlight w:val="none"/>
        </w:rPr>
        <w:t>。</w:t>
      </w:r>
    </w:p>
    <w:p w14:paraId="13EB9FC9">
      <w:pPr>
        <w:pStyle w:val="3"/>
        <w:keepNext w:val="0"/>
        <w:keepLines w:val="0"/>
        <w:pageBreakBefore w:val="0"/>
        <w:widowControl w:val="0"/>
        <w:kinsoku/>
        <w:wordWrap/>
        <w:overflowPunct/>
        <w:topLinePunct w:val="0"/>
        <w:autoSpaceDE/>
        <w:autoSpaceDN/>
        <w:bidi w:val="0"/>
        <w:adjustRightInd/>
        <w:snapToGrid/>
        <w:spacing w:line="520" w:lineRule="exact"/>
        <w:ind w:firstLine="404" w:firstLineChars="200"/>
        <w:textAlignment w:val="auto"/>
        <w:rPr>
          <w:rFonts w:hint="eastAsia" w:ascii="方正仿宋_GBK" w:hAnsi="仿宋" w:eastAsia="方正仿宋_GBK" w:cs="仿宋"/>
          <w:color w:val="auto"/>
          <w:spacing w:val="-4"/>
          <w:sz w:val="22"/>
          <w:szCs w:val="22"/>
          <w:highlight w:val="none"/>
          <w:lang w:eastAsia="zh-CN"/>
        </w:rPr>
      </w:pPr>
      <w:r>
        <w:rPr>
          <w:rFonts w:hint="eastAsia" w:ascii="方正仿宋_GBK" w:hAnsi="仿宋" w:eastAsia="方正仿宋_GBK" w:cs="仿宋"/>
          <w:color w:val="auto"/>
          <w:spacing w:val="-4"/>
          <w:szCs w:val="32"/>
          <w:highlight w:val="none"/>
        </w:rPr>
        <w:t>1.2出租房屋建筑面积为</w:t>
      </w:r>
      <w:r>
        <w:rPr>
          <w:rFonts w:hint="eastAsia" w:ascii="方正仿宋_GBK" w:hAnsi="仿宋" w:eastAsia="方正仿宋_GBK" w:cs="仿宋"/>
          <w:color w:val="auto"/>
          <w:spacing w:val="-4"/>
          <w:szCs w:val="32"/>
          <w:highlight w:val="none"/>
          <w:u w:val="single"/>
        </w:rPr>
        <w:t xml:space="preserve">  一楼212．44㎡、二楼212.44m2（有使用权、无产权证），共计424.88㎡</w:t>
      </w:r>
      <w:r>
        <w:rPr>
          <w:rFonts w:hint="eastAsia" w:ascii="方正仿宋_GBK" w:hAnsi="仿宋" w:eastAsia="方正仿宋_GBK" w:cs="仿宋"/>
          <w:color w:val="auto"/>
          <w:spacing w:val="-4"/>
          <w:szCs w:val="32"/>
          <w:highlight w:val="none"/>
          <w:lang w:eastAsia="zh-CN"/>
        </w:rPr>
        <w:t>。</w:t>
      </w:r>
    </w:p>
    <w:tbl>
      <w:tblPr>
        <w:tblStyle w:val="5"/>
        <w:tblW w:w="53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2431"/>
        <w:gridCol w:w="2318"/>
        <w:gridCol w:w="1891"/>
        <w:gridCol w:w="2414"/>
      </w:tblGrid>
      <w:tr w14:paraId="0B506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763" w:type="dxa"/>
            <w:noWrap w:val="0"/>
            <w:vAlign w:val="center"/>
          </w:tcPr>
          <w:p w14:paraId="58B15A0F">
            <w:pPr>
              <w:widowControl/>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highlight w:val="none"/>
              </w:rPr>
              <w:t>序号</w:t>
            </w:r>
          </w:p>
        </w:tc>
        <w:tc>
          <w:tcPr>
            <w:tcW w:w="2431" w:type="dxa"/>
            <w:noWrap w:val="0"/>
            <w:vAlign w:val="center"/>
          </w:tcPr>
          <w:p w14:paraId="7FDB9719">
            <w:pPr>
              <w:widowControl/>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highlight w:val="none"/>
              </w:rPr>
              <w:t>产权证号</w:t>
            </w:r>
          </w:p>
        </w:tc>
        <w:tc>
          <w:tcPr>
            <w:tcW w:w="2318" w:type="dxa"/>
            <w:noWrap w:val="0"/>
            <w:vAlign w:val="center"/>
          </w:tcPr>
          <w:p w14:paraId="58B8FF9E">
            <w:pPr>
              <w:widowControl/>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highlight w:val="none"/>
              </w:rPr>
              <w:t>出租范围</w:t>
            </w:r>
          </w:p>
        </w:tc>
        <w:tc>
          <w:tcPr>
            <w:tcW w:w="1891" w:type="dxa"/>
            <w:noWrap w:val="0"/>
            <w:vAlign w:val="center"/>
          </w:tcPr>
          <w:p w14:paraId="680DE46F">
            <w:pPr>
              <w:widowControl/>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highlight w:val="none"/>
              </w:rPr>
              <w:t>土地用途</w:t>
            </w:r>
          </w:p>
        </w:tc>
        <w:tc>
          <w:tcPr>
            <w:tcW w:w="2414" w:type="dxa"/>
            <w:noWrap w:val="0"/>
            <w:vAlign w:val="center"/>
          </w:tcPr>
          <w:p w14:paraId="2185D421">
            <w:pPr>
              <w:widowControl/>
              <w:jc w:val="center"/>
              <w:rPr>
                <w:rFonts w:hint="eastAsia" w:ascii="宋体" w:hAnsi="宋体" w:eastAsia="宋体" w:cs="宋体"/>
                <w:color w:val="auto"/>
                <w:kern w:val="0"/>
                <w:sz w:val="20"/>
                <w:highlight w:val="none"/>
              </w:rPr>
            </w:pPr>
            <w:r>
              <w:rPr>
                <w:rFonts w:hint="eastAsia" w:ascii="宋体" w:hAnsi="宋体" w:eastAsia="宋体" w:cs="宋体"/>
                <w:color w:val="auto"/>
                <w:kern w:val="0"/>
                <w:sz w:val="20"/>
                <w:highlight w:val="none"/>
              </w:rPr>
              <w:t>建筑面积</w:t>
            </w:r>
          </w:p>
          <w:p w14:paraId="0A7AACD7">
            <w:pPr>
              <w:widowControl/>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highlight w:val="none"/>
              </w:rPr>
              <w:t>（m</w:t>
            </w:r>
            <w:r>
              <w:rPr>
                <w:rFonts w:hint="eastAsia" w:ascii="宋体" w:hAnsi="宋体" w:eastAsia="宋体" w:cs="宋体"/>
                <w:color w:val="auto"/>
                <w:kern w:val="0"/>
                <w:sz w:val="20"/>
                <w:highlight w:val="none"/>
                <w:vertAlign w:val="superscript"/>
              </w:rPr>
              <w:t>2</w:t>
            </w:r>
            <w:r>
              <w:rPr>
                <w:rFonts w:hint="eastAsia" w:ascii="宋体" w:hAnsi="宋体" w:eastAsia="宋体" w:cs="宋体"/>
                <w:color w:val="auto"/>
                <w:kern w:val="0"/>
                <w:sz w:val="20"/>
                <w:highlight w:val="none"/>
              </w:rPr>
              <w:t>）</w:t>
            </w:r>
          </w:p>
        </w:tc>
      </w:tr>
      <w:tr w14:paraId="68E33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763" w:type="dxa"/>
            <w:noWrap w:val="0"/>
            <w:vAlign w:val="center"/>
          </w:tcPr>
          <w:p w14:paraId="30844DC6">
            <w:pPr>
              <w:widowControl/>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highlight w:val="none"/>
              </w:rPr>
              <w:t>1</w:t>
            </w:r>
          </w:p>
        </w:tc>
        <w:tc>
          <w:tcPr>
            <w:tcW w:w="2431" w:type="dxa"/>
            <w:noWrap w:val="0"/>
            <w:vAlign w:val="center"/>
          </w:tcPr>
          <w:p w14:paraId="0BD6E93F">
            <w:pPr>
              <w:jc w:val="center"/>
              <w:rPr>
                <w:rFonts w:hint="eastAsia" w:ascii="宋体" w:hAnsi="宋体" w:eastAsia="宋体" w:cs="宋体"/>
                <w:color w:val="auto"/>
                <w:kern w:val="0"/>
                <w:sz w:val="22"/>
                <w:szCs w:val="22"/>
                <w:highlight w:val="none"/>
              </w:rPr>
            </w:pPr>
            <w:r>
              <w:rPr>
                <w:rFonts w:hint="eastAsia" w:ascii="宋体" w:hAnsi="宋体" w:eastAsia="宋体" w:cs="宋体"/>
                <w:color w:val="auto"/>
                <w:highlight w:val="none"/>
                <w:lang w:val="en-US" w:eastAsia="zh-CN"/>
              </w:rPr>
              <w:t>渝（2020）江北区不动产权第000931822号</w:t>
            </w:r>
          </w:p>
        </w:tc>
        <w:tc>
          <w:tcPr>
            <w:tcW w:w="2318" w:type="dxa"/>
            <w:noWrap w:val="0"/>
            <w:vAlign w:val="center"/>
          </w:tcPr>
          <w:p w14:paraId="290B9B5E">
            <w:pPr>
              <w:jc w:val="center"/>
              <w:rPr>
                <w:rFonts w:hint="eastAsia" w:ascii="宋体" w:hAnsi="宋体" w:eastAsia="宋体" w:cs="宋体"/>
                <w:color w:val="auto"/>
                <w:kern w:val="0"/>
                <w:sz w:val="22"/>
                <w:szCs w:val="22"/>
                <w:highlight w:val="none"/>
              </w:rPr>
            </w:pPr>
            <w:r>
              <w:rPr>
                <w:rFonts w:hint="eastAsia" w:ascii="宋体" w:hAnsi="宋体" w:eastAsia="宋体" w:cs="宋体"/>
                <w:color w:val="auto"/>
                <w:highlight w:val="none"/>
                <w:lang w:val="en-US" w:eastAsia="zh-CN"/>
              </w:rPr>
              <w:t>重庆市江北区红砂碛26号附82号房屋</w:t>
            </w:r>
          </w:p>
        </w:tc>
        <w:tc>
          <w:tcPr>
            <w:tcW w:w="1891" w:type="dxa"/>
            <w:noWrap w:val="0"/>
            <w:vAlign w:val="center"/>
          </w:tcPr>
          <w:p w14:paraId="20B2E44A">
            <w:pPr>
              <w:widowControl/>
              <w:jc w:val="center"/>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0"/>
                <w:highlight w:val="none"/>
                <w:lang w:eastAsia="zh-CN"/>
              </w:rPr>
              <w:t>商业</w:t>
            </w:r>
          </w:p>
        </w:tc>
        <w:tc>
          <w:tcPr>
            <w:tcW w:w="2414" w:type="dxa"/>
            <w:noWrap w:val="0"/>
            <w:vAlign w:val="center"/>
          </w:tcPr>
          <w:p w14:paraId="45031E5B">
            <w:pPr>
              <w:widowControl/>
              <w:jc w:val="center"/>
              <w:rPr>
                <w:rFonts w:hint="eastAsia" w:ascii="宋体" w:hAnsi="宋体" w:eastAsia="宋体" w:cs="宋体"/>
                <w:color w:val="auto"/>
                <w:kern w:val="0"/>
                <w:sz w:val="22"/>
                <w:szCs w:val="22"/>
                <w:highlight w:val="none"/>
              </w:rPr>
            </w:pPr>
            <w:r>
              <w:rPr>
                <w:rFonts w:hint="eastAsia" w:ascii="宋体" w:hAnsi="宋体" w:eastAsia="宋体" w:cs="宋体"/>
                <w:color w:val="auto"/>
                <w:highlight w:val="none"/>
                <w:lang w:val="en-US" w:eastAsia="zh-CN"/>
              </w:rPr>
              <w:t>一楼212．44㎡、二楼212.44m2（有使用权、无产权证），共计424.88㎡</w:t>
            </w:r>
          </w:p>
        </w:tc>
      </w:tr>
    </w:tbl>
    <w:p w14:paraId="4C3E53D6">
      <w:pPr>
        <w:pStyle w:val="3"/>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K" w:hAnsi="仿宋" w:eastAsia="方正仿宋_GBK" w:cs="仿宋"/>
          <w:b/>
          <w:color w:val="auto"/>
          <w:sz w:val="22"/>
          <w:szCs w:val="22"/>
          <w:highlight w:val="none"/>
        </w:rPr>
      </w:pPr>
      <w:r>
        <w:rPr>
          <w:rFonts w:hint="eastAsia" w:ascii="方正仿宋_GBK" w:hAnsi="仿宋" w:eastAsia="方正仿宋_GBK" w:cs="仿宋"/>
          <w:color w:val="auto"/>
          <w:spacing w:val="-4"/>
          <w:szCs w:val="32"/>
          <w:highlight w:val="none"/>
        </w:rPr>
        <w:t xml:space="preserve">    </w:t>
      </w:r>
      <w:r>
        <w:rPr>
          <w:rFonts w:hint="eastAsia" w:ascii="方正仿宋_GBK" w:hAnsi="仿宋" w:eastAsia="方正仿宋_GBK" w:cs="仿宋"/>
          <w:b/>
          <w:color w:val="auto"/>
          <w:spacing w:val="-4"/>
          <w:sz w:val="22"/>
          <w:szCs w:val="22"/>
          <w:highlight w:val="none"/>
        </w:rPr>
        <w:t xml:space="preserve">第二条 </w:t>
      </w:r>
      <w:r>
        <w:rPr>
          <w:rFonts w:hint="eastAsia" w:ascii="方正仿宋_GBK" w:hAnsi="仿宋" w:eastAsia="方正仿宋_GBK" w:cs="仿宋"/>
          <w:b/>
          <w:color w:val="auto"/>
          <w:sz w:val="22"/>
          <w:szCs w:val="22"/>
          <w:highlight w:val="none"/>
        </w:rPr>
        <w:t>租赁期限及用途</w:t>
      </w:r>
    </w:p>
    <w:p w14:paraId="5CB1E5F9">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2.1 房屋租赁期限为</w:t>
      </w:r>
      <w:r>
        <w:rPr>
          <w:rFonts w:hint="eastAsia" w:ascii="方正仿宋_GBK" w:hAnsi="仿宋" w:eastAsia="方正仿宋_GBK" w:cs="仿宋"/>
          <w:color w:val="auto"/>
          <w:spacing w:val="-4"/>
          <w:sz w:val="22"/>
          <w:szCs w:val="22"/>
          <w:highlight w:val="none"/>
          <w:u w:val="single"/>
        </w:rPr>
        <w:t xml:space="preserve"> </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 xml:space="preserve"> </w:t>
      </w:r>
      <w:r>
        <w:rPr>
          <w:rFonts w:hint="eastAsia" w:ascii="方正仿宋_GBK" w:hAnsi="仿宋" w:eastAsia="方正仿宋_GBK" w:cs="仿宋"/>
          <w:color w:val="auto"/>
          <w:spacing w:val="-4"/>
          <w:sz w:val="22"/>
          <w:szCs w:val="22"/>
          <w:highlight w:val="none"/>
        </w:rPr>
        <w:fldChar w:fldCharType="begin"/>
      </w:r>
      <w:r>
        <w:rPr>
          <w:rFonts w:hint="eastAsia" w:ascii="方正仿宋_GBK" w:hAnsi="仿宋" w:eastAsia="方正仿宋_GBK" w:cs="仿宋"/>
          <w:color w:val="auto"/>
          <w:spacing w:val="-4"/>
          <w:sz w:val="22"/>
          <w:szCs w:val="22"/>
          <w:highlight w:val="none"/>
        </w:rPr>
        <w:instrText xml:space="preserve"> MERGEFIELD "F10" </w:instrText>
      </w:r>
      <w:r>
        <w:rPr>
          <w:rFonts w:hint="eastAsia" w:ascii="方正仿宋_GBK" w:hAnsi="仿宋" w:eastAsia="方正仿宋_GBK" w:cs="仿宋"/>
          <w:color w:val="auto"/>
          <w:spacing w:val="-4"/>
          <w:sz w:val="22"/>
          <w:szCs w:val="22"/>
          <w:highlight w:val="none"/>
        </w:rPr>
        <w:fldChar w:fldCharType="separate"/>
      </w:r>
      <w:r>
        <w:rPr>
          <w:rFonts w:hint="eastAsia" w:ascii="方正仿宋_GBK" w:hAnsi="仿宋" w:eastAsia="方正仿宋_GBK" w:cs="仿宋"/>
          <w:color w:val="auto"/>
          <w:spacing w:val="-4"/>
          <w:sz w:val="22"/>
          <w:szCs w:val="22"/>
          <w:highlight w:val="none"/>
        </w:rPr>
        <w:t>年</w:t>
      </w:r>
      <w:r>
        <w:rPr>
          <w:rFonts w:hint="eastAsia" w:ascii="方正仿宋_GBK" w:hAnsi="仿宋" w:eastAsia="方正仿宋_GBK" w:cs="仿宋"/>
          <w:color w:val="auto"/>
          <w:spacing w:val="-4"/>
          <w:sz w:val="22"/>
          <w:szCs w:val="22"/>
          <w:highlight w:val="none"/>
          <w:u w:val="single"/>
        </w:rPr>
        <w:t xml:space="preserve"> </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 xml:space="preserve"> </w:t>
      </w:r>
      <w:r>
        <w:rPr>
          <w:rFonts w:hint="eastAsia" w:ascii="方正仿宋_GBK" w:hAnsi="仿宋" w:eastAsia="方正仿宋_GBK" w:cs="仿宋"/>
          <w:color w:val="auto"/>
          <w:spacing w:val="-4"/>
          <w:sz w:val="22"/>
          <w:szCs w:val="22"/>
          <w:highlight w:val="none"/>
        </w:rPr>
        <w:t xml:space="preserve">月 </w:t>
      </w:r>
      <w:r>
        <w:rPr>
          <w:rFonts w:hint="eastAsia" w:ascii="方正仿宋_GBK" w:hAnsi="仿宋" w:eastAsia="方正仿宋_GBK" w:cs="仿宋"/>
          <w:color w:val="auto"/>
          <w:spacing w:val="-4"/>
          <w:sz w:val="22"/>
          <w:szCs w:val="22"/>
          <w:highlight w:val="none"/>
          <w:u w:val="single"/>
        </w:rPr>
        <w:t xml:space="preserve"> </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rPr>
        <w:t>日</w:t>
      </w:r>
      <w:r>
        <w:rPr>
          <w:rFonts w:hint="eastAsia" w:ascii="方正仿宋_GBK" w:hAnsi="仿宋" w:eastAsia="方正仿宋_GBK" w:cs="仿宋"/>
          <w:color w:val="auto"/>
          <w:spacing w:val="-4"/>
          <w:sz w:val="22"/>
          <w:szCs w:val="22"/>
          <w:highlight w:val="none"/>
        </w:rPr>
        <w:fldChar w:fldCharType="end"/>
      </w:r>
      <w:r>
        <w:rPr>
          <w:rFonts w:hint="eastAsia" w:ascii="方正仿宋_GBK" w:hAnsi="仿宋" w:eastAsia="方正仿宋_GBK" w:cs="仿宋"/>
          <w:color w:val="auto"/>
          <w:spacing w:val="-4"/>
          <w:sz w:val="22"/>
          <w:szCs w:val="22"/>
          <w:highlight w:val="none"/>
        </w:rPr>
        <w:t>起至</w:t>
      </w:r>
      <w:r>
        <w:rPr>
          <w:rFonts w:hint="eastAsia" w:ascii="方正仿宋_GBK" w:hAnsi="仿宋" w:eastAsia="方正仿宋_GBK" w:cs="仿宋"/>
          <w:color w:val="auto"/>
          <w:spacing w:val="-4"/>
          <w:sz w:val="22"/>
          <w:szCs w:val="22"/>
          <w:highlight w:val="none"/>
        </w:rPr>
        <w:fldChar w:fldCharType="begin"/>
      </w:r>
      <w:r>
        <w:rPr>
          <w:rFonts w:hint="eastAsia" w:ascii="方正仿宋_GBK" w:hAnsi="仿宋" w:eastAsia="方正仿宋_GBK" w:cs="仿宋"/>
          <w:color w:val="auto"/>
          <w:spacing w:val="-4"/>
          <w:sz w:val="22"/>
          <w:szCs w:val="22"/>
          <w:highlight w:val="none"/>
        </w:rPr>
        <w:instrText xml:space="preserve"> MERGEFIELD "F11" </w:instrText>
      </w:r>
      <w:r>
        <w:rPr>
          <w:rFonts w:hint="eastAsia" w:ascii="方正仿宋_GBK" w:hAnsi="仿宋" w:eastAsia="方正仿宋_GBK" w:cs="仿宋"/>
          <w:color w:val="auto"/>
          <w:spacing w:val="-4"/>
          <w:sz w:val="22"/>
          <w:szCs w:val="22"/>
          <w:highlight w:val="none"/>
        </w:rPr>
        <w:fldChar w:fldCharType="separate"/>
      </w:r>
      <w:r>
        <w:rPr>
          <w:rFonts w:hint="eastAsia" w:ascii="方正仿宋_GBK" w:hAnsi="仿宋" w:eastAsia="方正仿宋_GBK" w:cs="仿宋"/>
          <w:color w:val="auto"/>
          <w:spacing w:val="-4"/>
          <w:sz w:val="22"/>
          <w:szCs w:val="22"/>
          <w:highlight w:val="none"/>
          <w:u w:val="single"/>
        </w:rPr>
        <w:t xml:space="preserve"> </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 xml:space="preserve">  </w:t>
      </w:r>
      <w:r>
        <w:rPr>
          <w:rFonts w:hint="eastAsia" w:ascii="方正仿宋_GBK" w:hAnsi="仿宋" w:eastAsia="方正仿宋_GBK" w:cs="仿宋"/>
          <w:color w:val="auto"/>
          <w:spacing w:val="-4"/>
          <w:sz w:val="22"/>
          <w:szCs w:val="22"/>
          <w:highlight w:val="none"/>
        </w:rPr>
        <w:t>年</w:t>
      </w:r>
      <w:r>
        <w:rPr>
          <w:rFonts w:hint="eastAsia" w:ascii="方正仿宋_GBK" w:hAnsi="仿宋" w:eastAsia="方正仿宋_GBK" w:cs="仿宋"/>
          <w:color w:val="auto"/>
          <w:spacing w:val="-4"/>
          <w:sz w:val="22"/>
          <w:szCs w:val="22"/>
          <w:highlight w:val="none"/>
          <w:u w:val="single"/>
        </w:rPr>
        <w:t xml:space="preserve"> </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 xml:space="preserve"> </w:t>
      </w:r>
      <w:r>
        <w:rPr>
          <w:rFonts w:hint="eastAsia" w:ascii="方正仿宋_GBK" w:hAnsi="仿宋" w:eastAsia="方正仿宋_GBK" w:cs="仿宋"/>
          <w:color w:val="auto"/>
          <w:spacing w:val="-4"/>
          <w:sz w:val="22"/>
          <w:szCs w:val="22"/>
          <w:highlight w:val="none"/>
        </w:rPr>
        <w:t>月</w:t>
      </w:r>
      <w:r>
        <w:rPr>
          <w:rFonts w:hint="eastAsia" w:ascii="方正仿宋_GBK" w:hAnsi="仿宋" w:eastAsia="方正仿宋_GBK" w:cs="仿宋"/>
          <w:color w:val="auto"/>
          <w:spacing w:val="-4"/>
          <w:sz w:val="22"/>
          <w:szCs w:val="22"/>
          <w:highlight w:val="none"/>
          <w:u w:val="single"/>
        </w:rPr>
        <w:t xml:space="preserve"> </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 xml:space="preserve"> </w:t>
      </w:r>
      <w:r>
        <w:rPr>
          <w:rFonts w:hint="eastAsia" w:ascii="方正仿宋_GBK" w:hAnsi="仿宋" w:eastAsia="方正仿宋_GBK" w:cs="仿宋"/>
          <w:color w:val="auto"/>
          <w:spacing w:val="-4"/>
          <w:sz w:val="22"/>
          <w:szCs w:val="22"/>
          <w:highlight w:val="none"/>
        </w:rPr>
        <w:t>日</w:t>
      </w:r>
      <w:r>
        <w:rPr>
          <w:rFonts w:hint="eastAsia" w:ascii="方正仿宋_GBK" w:hAnsi="仿宋" w:eastAsia="方正仿宋_GBK" w:cs="仿宋"/>
          <w:color w:val="auto"/>
          <w:spacing w:val="-4"/>
          <w:sz w:val="22"/>
          <w:szCs w:val="22"/>
          <w:highlight w:val="none"/>
        </w:rPr>
        <w:fldChar w:fldCharType="end"/>
      </w:r>
      <w:r>
        <w:rPr>
          <w:rFonts w:hint="eastAsia" w:ascii="方正仿宋_GBK" w:hAnsi="仿宋" w:eastAsia="方正仿宋_GBK" w:cs="仿宋"/>
          <w:color w:val="auto"/>
          <w:spacing w:val="-4"/>
          <w:sz w:val="22"/>
          <w:szCs w:val="22"/>
          <w:highlight w:val="none"/>
        </w:rPr>
        <w:t>止。</w:t>
      </w:r>
    </w:p>
    <w:p w14:paraId="17EBDA01">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2.2 租赁期内该房屋用途：</w:t>
      </w:r>
      <w:r>
        <w:rPr>
          <w:rFonts w:hint="eastAsia" w:ascii="方正仿宋_GBK" w:hAnsi="仿宋" w:eastAsia="方正仿宋_GBK" w:cs="仿宋"/>
          <w:color w:val="auto"/>
          <w:spacing w:val="-4"/>
          <w:sz w:val="22"/>
          <w:szCs w:val="22"/>
          <w:highlight w:val="none"/>
          <w:u w:val="single"/>
        </w:rPr>
        <w:t xml:space="preserve"> 必须符合国家法律、法规的规定以及物管部门的整体要求 </w:t>
      </w:r>
      <w:r>
        <w:rPr>
          <w:rFonts w:hint="eastAsia" w:ascii="方正仿宋_GBK" w:hAnsi="仿宋" w:eastAsia="方正仿宋_GBK" w:cs="仿宋"/>
          <w:color w:val="auto"/>
          <w:spacing w:val="-4"/>
          <w:sz w:val="22"/>
          <w:szCs w:val="22"/>
          <w:highlight w:val="none"/>
        </w:rPr>
        <w:t>。</w:t>
      </w:r>
    </w:p>
    <w:p w14:paraId="63778A59">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2.3乙方保证承租期间严格遵守国家有关法律法规和物业管理规定。</w:t>
      </w:r>
    </w:p>
    <w:p w14:paraId="70E42224">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2.4租赁期内，未经甲方书面同意，以及未按照规定经有关部门审批之前，乙方不得擅自改变该房屋的使用用途。</w:t>
      </w:r>
    </w:p>
    <w:p w14:paraId="11781AFD">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2.5租赁期满后，乙方应如期归还房屋。</w:t>
      </w:r>
    </w:p>
    <w:p w14:paraId="66F0AC70">
      <w:pPr>
        <w:pStyle w:val="3"/>
        <w:keepNext w:val="0"/>
        <w:keepLines w:val="0"/>
        <w:pageBreakBefore w:val="0"/>
        <w:widowControl w:val="0"/>
        <w:kinsoku/>
        <w:wordWrap/>
        <w:overflowPunct/>
        <w:topLinePunct w:val="0"/>
        <w:autoSpaceDE/>
        <w:autoSpaceDN/>
        <w:bidi w:val="0"/>
        <w:adjustRightInd/>
        <w:snapToGrid/>
        <w:spacing w:line="480" w:lineRule="exact"/>
        <w:ind w:firstLine="608"/>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2.6 乙方返还的租赁房屋应当保持房屋及设施、设备的完好状态，不得留存物品或影响房屋的正常使用,且甲方有权要求乙方恢复原状。合同终止后，乙方未经甲方同意遗留的物品，视为乙方遗弃物，甲方有权进行处置，处置费用由乙方承担。对此给甲方造成的损失，乙方应承担赔偿责任。</w:t>
      </w:r>
    </w:p>
    <w:p w14:paraId="5075ACB4">
      <w:pPr>
        <w:pStyle w:val="3"/>
        <w:keepNext w:val="0"/>
        <w:keepLines w:val="0"/>
        <w:pageBreakBefore w:val="0"/>
        <w:widowControl w:val="0"/>
        <w:kinsoku/>
        <w:wordWrap/>
        <w:overflowPunct/>
        <w:topLinePunct w:val="0"/>
        <w:autoSpaceDE/>
        <w:autoSpaceDN/>
        <w:bidi w:val="0"/>
        <w:adjustRightInd/>
        <w:snapToGrid/>
        <w:spacing w:line="480" w:lineRule="exact"/>
        <w:ind w:firstLine="608"/>
        <w:textAlignment w:val="auto"/>
        <w:rPr>
          <w:rFonts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2.7租赁期满甲方继续出租该房屋的，同等条件下乙方享有优先承租权。</w:t>
      </w:r>
    </w:p>
    <w:p w14:paraId="52473D9A">
      <w:pPr>
        <w:pStyle w:val="3"/>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K" w:hAnsi="仿宋" w:eastAsia="方正仿宋_GBK" w:cs="仿宋"/>
          <w:b/>
          <w:color w:val="auto"/>
          <w:spacing w:val="-4"/>
          <w:sz w:val="22"/>
          <w:szCs w:val="22"/>
          <w:highlight w:val="none"/>
        </w:rPr>
      </w:pPr>
      <w:r>
        <w:rPr>
          <w:rFonts w:hint="eastAsia" w:ascii="方正仿宋_GBK" w:hAnsi="仿宋" w:eastAsia="方正仿宋_GBK" w:cs="仿宋"/>
          <w:color w:val="auto"/>
          <w:spacing w:val="-4"/>
          <w:sz w:val="22"/>
          <w:szCs w:val="22"/>
          <w:highlight w:val="none"/>
        </w:rPr>
        <w:t xml:space="preserve">   </w:t>
      </w:r>
      <w:r>
        <w:rPr>
          <w:rFonts w:hint="eastAsia" w:ascii="方正仿宋_GBK" w:hAnsi="仿宋" w:eastAsia="方正仿宋_GBK" w:cs="仿宋"/>
          <w:b/>
          <w:color w:val="auto"/>
          <w:spacing w:val="-4"/>
          <w:sz w:val="22"/>
          <w:szCs w:val="22"/>
          <w:highlight w:val="none"/>
        </w:rPr>
        <w:t xml:space="preserve"> 第三条 装修</w:t>
      </w:r>
    </w:p>
    <w:p w14:paraId="5D4E6642">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经甲乙双方约定</w:t>
      </w:r>
      <w:r>
        <w:rPr>
          <w:rFonts w:hint="eastAsia" w:ascii="方正仿宋_GBK" w:hAnsi="仿宋" w:eastAsia="方正仿宋_GBK" w:cs="仿宋"/>
          <w:color w:val="auto"/>
          <w:spacing w:val="-4"/>
          <w:sz w:val="22"/>
          <w:szCs w:val="22"/>
          <w:highlight w:val="none"/>
          <w:u w:val="single"/>
        </w:rPr>
        <w:t xml:space="preserve">  </w:t>
      </w:r>
      <w:r>
        <w:rPr>
          <w:rFonts w:hint="eastAsia" w:ascii="方正仿宋_GBK" w:hAnsi="仿宋" w:eastAsia="方正仿宋_GBK" w:cs="仿宋"/>
          <w:color w:val="auto"/>
          <w:spacing w:val="-4"/>
          <w:sz w:val="22"/>
          <w:szCs w:val="22"/>
          <w:highlight w:val="none"/>
          <w:u w:val="single"/>
          <w:lang w:val="en-US" w:eastAsia="zh-CN"/>
        </w:rPr>
        <w:t>B</w:t>
      </w:r>
      <w:r>
        <w:rPr>
          <w:rFonts w:hint="eastAsia" w:ascii="方正仿宋_GBK" w:hAnsi="仿宋" w:eastAsia="方正仿宋_GBK" w:cs="仿宋"/>
          <w:color w:val="auto"/>
          <w:spacing w:val="-4"/>
          <w:sz w:val="22"/>
          <w:szCs w:val="22"/>
          <w:highlight w:val="none"/>
          <w:u w:val="single"/>
        </w:rPr>
        <w:t xml:space="preserve">   </w:t>
      </w:r>
      <w:r>
        <w:rPr>
          <w:rFonts w:hint="eastAsia" w:ascii="方正仿宋_GBK" w:hAnsi="仿宋" w:eastAsia="方正仿宋_GBK" w:cs="仿宋"/>
          <w:color w:val="auto"/>
          <w:spacing w:val="-4"/>
          <w:sz w:val="22"/>
          <w:szCs w:val="22"/>
          <w:highlight w:val="none"/>
        </w:rPr>
        <w:t>（下列二种情况只能选一种）。</w:t>
      </w:r>
    </w:p>
    <w:p w14:paraId="37E4219B">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A：该房屋无装修免租期，即使是合同期内经甲方同意装修的，乙方仍应按本合同约定标准支付租金。</w:t>
      </w:r>
    </w:p>
    <w:p w14:paraId="6482B57A">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B：</w:t>
      </w:r>
      <w:r>
        <w:rPr>
          <w:rFonts w:hint="eastAsia" w:ascii="方正仿宋_GBK" w:hAnsi="仿宋" w:eastAsia="方正仿宋_GBK" w:cs="仿宋"/>
          <w:color w:val="auto"/>
          <w:spacing w:val="-4"/>
          <w:sz w:val="22"/>
          <w:szCs w:val="22"/>
          <w:highlight w:val="none"/>
          <w:u w:val="single"/>
        </w:rPr>
        <w:t xml:space="preserve">    </w:t>
      </w:r>
      <w:r>
        <w:rPr>
          <w:rFonts w:hint="eastAsia" w:ascii="方正仿宋_GBK" w:hAnsi="仿宋" w:eastAsia="方正仿宋_GBK" w:cs="仿宋"/>
          <w:color w:val="auto"/>
          <w:spacing w:val="-4"/>
          <w:sz w:val="22"/>
          <w:szCs w:val="22"/>
          <w:highlight w:val="none"/>
        </w:rPr>
        <w:t xml:space="preserve">年 </w:t>
      </w:r>
      <w:r>
        <w:rPr>
          <w:rFonts w:hint="eastAsia" w:ascii="方正仿宋_GBK" w:hAnsi="仿宋" w:eastAsia="方正仿宋_GBK" w:cs="仿宋"/>
          <w:color w:val="auto"/>
          <w:spacing w:val="-4"/>
          <w:sz w:val="22"/>
          <w:szCs w:val="22"/>
          <w:highlight w:val="none"/>
          <w:u w:val="single"/>
        </w:rPr>
        <w:t xml:space="preserve">     </w:t>
      </w:r>
      <w:r>
        <w:rPr>
          <w:rFonts w:hint="eastAsia" w:ascii="方正仿宋_GBK" w:hAnsi="仿宋" w:eastAsia="方正仿宋_GBK" w:cs="仿宋"/>
          <w:color w:val="auto"/>
          <w:spacing w:val="-4"/>
          <w:sz w:val="22"/>
          <w:szCs w:val="22"/>
          <w:highlight w:val="none"/>
        </w:rPr>
        <w:t xml:space="preserve">月 </w:t>
      </w:r>
      <w:r>
        <w:rPr>
          <w:rFonts w:hint="eastAsia" w:ascii="方正仿宋_GBK" w:hAnsi="仿宋" w:eastAsia="方正仿宋_GBK" w:cs="仿宋"/>
          <w:color w:val="auto"/>
          <w:spacing w:val="-4"/>
          <w:sz w:val="22"/>
          <w:szCs w:val="22"/>
          <w:highlight w:val="none"/>
          <w:u w:val="single"/>
        </w:rPr>
        <w:t xml:space="preserve">   </w:t>
      </w:r>
      <w:r>
        <w:rPr>
          <w:rFonts w:hint="eastAsia" w:ascii="方正仿宋_GBK" w:hAnsi="仿宋" w:eastAsia="方正仿宋_GBK" w:cs="仿宋"/>
          <w:color w:val="auto"/>
          <w:spacing w:val="-4"/>
          <w:sz w:val="22"/>
          <w:szCs w:val="22"/>
          <w:highlight w:val="none"/>
        </w:rPr>
        <w:t>日起至</w:t>
      </w:r>
      <w:r>
        <w:rPr>
          <w:rFonts w:hint="eastAsia" w:ascii="方正仿宋_GBK" w:hAnsi="仿宋" w:eastAsia="方正仿宋_GBK" w:cs="仿宋"/>
          <w:color w:val="auto"/>
          <w:spacing w:val="-4"/>
          <w:sz w:val="22"/>
          <w:szCs w:val="22"/>
          <w:highlight w:val="none"/>
          <w:u w:val="single"/>
        </w:rPr>
        <w:t xml:space="preserve">  </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 xml:space="preserve"> </w:t>
      </w:r>
      <w:r>
        <w:rPr>
          <w:rFonts w:hint="eastAsia" w:ascii="方正仿宋_GBK" w:hAnsi="仿宋" w:eastAsia="方正仿宋_GBK" w:cs="仿宋"/>
          <w:color w:val="auto"/>
          <w:spacing w:val="-4"/>
          <w:sz w:val="22"/>
          <w:szCs w:val="22"/>
          <w:highlight w:val="none"/>
        </w:rPr>
        <w:t>年</w:t>
      </w:r>
      <w:r>
        <w:rPr>
          <w:rFonts w:hint="eastAsia" w:ascii="方正仿宋_GBK" w:hAnsi="仿宋" w:eastAsia="方正仿宋_GBK" w:cs="仿宋"/>
          <w:color w:val="auto"/>
          <w:spacing w:val="-4"/>
          <w:sz w:val="22"/>
          <w:szCs w:val="22"/>
          <w:highlight w:val="none"/>
          <w:u w:val="single"/>
        </w:rPr>
        <w:t xml:space="preserve">  </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 xml:space="preserve">  </w:t>
      </w:r>
      <w:r>
        <w:rPr>
          <w:rFonts w:hint="eastAsia" w:ascii="方正仿宋_GBK" w:hAnsi="仿宋" w:eastAsia="方正仿宋_GBK" w:cs="仿宋"/>
          <w:color w:val="auto"/>
          <w:spacing w:val="-4"/>
          <w:sz w:val="22"/>
          <w:szCs w:val="22"/>
          <w:highlight w:val="none"/>
        </w:rPr>
        <w:t>月</w:t>
      </w:r>
      <w:r>
        <w:rPr>
          <w:rFonts w:hint="eastAsia" w:ascii="方正仿宋_GBK" w:hAnsi="仿宋" w:eastAsia="方正仿宋_GBK" w:cs="仿宋"/>
          <w:color w:val="auto"/>
          <w:spacing w:val="-4"/>
          <w:sz w:val="22"/>
          <w:szCs w:val="22"/>
          <w:highlight w:val="none"/>
          <w:u w:val="single"/>
        </w:rPr>
        <w:t xml:space="preserve">     </w:t>
      </w:r>
      <w:r>
        <w:rPr>
          <w:rFonts w:hint="eastAsia" w:ascii="方正仿宋_GBK" w:hAnsi="仿宋" w:eastAsia="方正仿宋_GBK" w:cs="仿宋"/>
          <w:color w:val="auto"/>
          <w:spacing w:val="-4"/>
          <w:sz w:val="22"/>
          <w:szCs w:val="22"/>
          <w:highlight w:val="none"/>
        </w:rPr>
        <w:t>日为该房屋装修期</w:t>
      </w:r>
      <w:r>
        <w:rPr>
          <w:rFonts w:hint="eastAsia" w:ascii="方正仿宋_GBK" w:hAnsi="仿宋" w:eastAsia="方正仿宋_GBK" w:cs="仿宋"/>
          <w:color w:val="auto"/>
          <w:spacing w:val="-4"/>
          <w:sz w:val="22"/>
          <w:szCs w:val="22"/>
          <w:highlight w:val="none"/>
          <w:lang w:eastAsia="zh-CN"/>
        </w:rPr>
        <w:t>（</w:t>
      </w:r>
      <w:r>
        <w:rPr>
          <w:rFonts w:hint="eastAsia" w:ascii="方正仿宋_GBK" w:hAnsi="仿宋" w:eastAsia="方正仿宋_GBK" w:cs="仿宋"/>
          <w:color w:val="auto"/>
          <w:spacing w:val="-4"/>
          <w:sz w:val="22"/>
          <w:szCs w:val="22"/>
          <w:highlight w:val="none"/>
        </w:rPr>
        <w:t>房屋</w:t>
      </w:r>
      <w:r>
        <w:rPr>
          <w:rFonts w:hint="eastAsia" w:ascii="方正仿宋_GBK" w:hAnsi="仿宋" w:eastAsia="方正仿宋_GBK" w:cs="仿宋"/>
          <w:color w:val="auto"/>
          <w:spacing w:val="-4"/>
          <w:sz w:val="22"/>
          <w:szCs w:val="22"/>
          <w:highlight w:val="none"/>
          <w:lang w:val="en-US" w:eastAsia="zh-CN"/>
        </w:rPr>
        <w:t>装修期时间按实际开始时间计算，为1个整月</w:t>
      </w:r>
      <w:r>
        <w:rPr>
          <w:rFonts w:hint="eastAsia" w:ascii="方正仿宋_GBK" w:hAnsi="仿宋" w:eastAsia="方正仿宋_GBK" w:cs="仿宋"/>
          <w:color w:val="auto"/>
          <w:spacing w:val="-4"/>
          <w:sz w:val="22"/>
          <w:szCs w:val="22"/>
          <w:highlight w:val="none"/>
          <w:lang w:eastAsia="zh-CN"/>
        </w:rPr>
        <w:t>）</w:t>
      </w:r>
      <w:r>
        <w:rPr>
          <w:rFonts w:hint="eastAsia" w:ascii="方正仿宋_GBK" w:hAnsi="仿宋" w:eastAsia="方正仿宋_GBK" w:cs="仿宋"/>
          <w:color w:val="auto"/>
          <w:spacing w:val="-4"/>
          <w:sz w:val="22"/>
          <w:szCs w:val="22"/>
          <w:highlight w:val="none"/>
        </w:rPr>
        <w:t xml:space="preserve">，装修期间，甲方不收取租金。 </w:t>
      </w:r>
    </w:p>
    <w:p w14:paraId="74BC1AA0">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jc w:val="left"/>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3.1在租赁期内，如乙方对租赁房屋进行装修、改建，须向甲方提出书面申请及装修改建设计方案，经甲方书面同意方可进行。改建、装修费用由乙方承担。装修期间,乙方仍应按本合同约定标准支付租金。</w:t>
      </w:r>
    </w:p>
    <w:p w14:paraId="6A5A2C77">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jc w:val="left"/>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3.2如装修改建方案可能对公用部分及其他相邻用户影响的，甲方可对该部分设计方案提出异议，乙方应当予以修改。</w:t>
      </w:r>
    </w:p>
    <w:p w14:paraId="0958C3BE">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jc w:val="left"/>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3.3如乙方在装修、改建过程中，对装修改建方案有变动修改的，或并非完全按照装修改建设计方案进行实际施工的，乙方应先行向甲方提出方案变更的书面申请，经甲方书面同意后方可继续施工。</w:t>
      </w:r>
    </w:p>
    <w:p w14:paraId="61CA3265">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jc w:val="left"/>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3.4乙方承诺，不得使用不符合环保、消防等要求的装饰装修材料，装修改建工程不得擅自对租赁房屋主结构造成影响。</w:t>
      </w:r>
    </w:p>
    <w:p w14:paraId="4743598D">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jc w:val="left"/>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3.5房屋装修改建等，若涉及行政验收、审批的情形，乙方须自行申报环保、消防等检测验收，经检测验收合格后方可投入使用，因环保、消防等检测验收产生费用的，由乙方自行承担。</w:t>
      </w:r>
    </w:p>
    <w:p w14:paraId="3024EB48">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jc w:val="left"/>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3.6合同终止或解除后，乙方装修部分,可拆卸移转的装饰装修设备，甲方同意利用的,乙方不得拆除,且甲方无需支付乙方任何补偿,甲方不同意利用的,乙方应自行拆取转移，因拆除造成房屋毁损的，承租人应当恢复原状;不可拆卸的装饰装修部分,甲方同意利用的,归甲方所有，甲方无需支付乙方任何补偿,且乙方不得强行拆卸或破坏，应维护租赁房屋的完好状态,甲方不同意利用的,乙方应恢复原状。租赁房屋之外乙方制作或添加的相关设施设备，由乙方自行拆除、清理，并恢复原状。</w:t>
      </w:r>
    </w:p>
    <w:p w14:paraId="3D511083">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jc w:val="left"/>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3.7乙方装修时必须严格遵守相关部门规定，服从管理，由乙方装修造成房屋漏水、设施损坏，由乙方承担修复。</w:t>
      </w:r>
    </w:p>
    <w:p w14:paraId="0A641DC2">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jc w:val="left"/>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3.8</w:t>
      </w:r>
      <w:r>
        <w:rPr>
          <w:rFonts w:hint="eastAsia" w:ascii="方正仿宋_GBK" w:eastAsia="方正仿宋_GBK"/>
          <w:color w:val="auto"/>
          <w:spacing w:val="-4"/>
          <w:sz w:val="22"/>
          <w:szCs w:val="22"/>
          <w:highlight w:val="none"/>
        </w:rPr>
        <w:t>乙方装修或增减设施而引发的一切法律、经济责任均由乙方自行承担，包括乙方因装修或增减设施达不到消防或相关部门规定而导致乙方承租的房屋无法达到预期使用目的的法律后果，均由乙方自行承担。</w:t>
      </w:r>
    </w:p>
    <w:p w14:paraId="01FA43A5">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ascii="方正仿宋_GBK" w:hAnsi="仿宋" w:eastAsia="方正仿宋_GBK" w:cs="仿宋"/>
          <w:b/>
          <w:color w:val="auto"/>
          <w:spacing w:val="-4"/>
          <w:sz w:val="22"/>
          <w:szCs w:val="22"/>
          <w:highlight w:val="none"/>
        </w:rPr>
      </w:pPr>
      <w:r>
        <w:rPr>
          <w:rFonts w:hint="eastAsia" w:ascii="方正仿宋_GBK" w:hAnsi="仿宋" w:eastAsia="方正仿宋_GBK" w:cs="仿宋"/>
          <w:b/>
          <w:color w:val="auto"/>
          <w:spacing w:val="-4"/>
          <w:sz w:val="22"/>
          <w:szCs w:val="22"/>
          <w:highlight w:val="none"/>
        </w:rPr>
        <w:t>第四条 租金和占有使用费</w:t>
      </w:r>
    </w:p>
    <w:p w14:paraId="2D59AD0C">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4.1 租金标准为：</w:t>
      </w:r>
    </w:p>
    <w:p w14:paraId="0F82724F">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4.1.1第一年，即</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年</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月</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日</w:t>
      </w:r>
      <w:r>
        <w:rPr>
          <w:rFonts w:hint="eastAsia" w:ascii="方正仿宋_GBK" w:hAnsi="仿宋" w:eastAsia="方正仿宋_GBK" w:cs="仿宋"/>
          <w:color w:val="auto"/>
          <w:spacing w:val="-4"/>
          <w:sz w:val="22"/>
          <w:szCs w:val="22"/>
          <w:highlight w:val="none"/>
        </w:rPr>
        <w:t>起至</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年</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月</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日</w:t>
      </w:r>
      <w:r>
        <w:rPr>
          <w:rFonts w:hint="eastAsia" w:ascii="方正仿宋_GBK" w:hAnsi="仿宋" w:eastAsia="方正仿宋_GBK" w:cs="仿宋"/>
          <w:color w:val="auto"/>
          <w:spacing w:val="-4"/>
          <w:sz w:val="22"/>
          <w:szCs w:val="22"/>
          <w:highlight w:val="none"/>
        </w:rPr>
        <w:t>止，每月租金为</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rPr>
        <w:t>元，大写：</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rPr>
        <w:t>元整。</w:t>
      </w:r>
    </w:p>
    <w:p w14:paraId="48B5495E">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color w:val="auto"/>
          <w:spacing w:val="-4"/>
          <w:sz w:val="22"/>
          <w:szCs w:val="22"/>
          <w:highlight w:val="none"/>
          <w:lang w:eastAsia="zh-CN"/>
        </w:rPr>
      </w:pPr>
      <w:r>
        <w:rPr>
          <w:rFonts w:hint="eastAsia" w:ascii="方正仿宋_GBK" w:hAnsi="仿宋" w:eastAsia="方正仿宋_GBK" w:cs="仿宋"/>
          <w:color w:val="auto"/>
          <w:spacing w:val="-4"/>
          <w:sz w:val="22"/>
          <w:szCs w:val="22"/>
          <w:highlight w:val="none"/>
        </w:rPr>
        <w:t xml:space="preserve"> 第二年，即</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年</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月</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日</w:t>
      </w:r>
      <w:r>
        <w:rPr>
          <w:rFonts w:hint="eastAsia" w:ascii="方正仿宋_GBK" w:hAnsi="仿宋" w:eastAsia="方正仿宋_GBK" w:cs="仿宋"/>
          <w:color w:val="auto"/>
          <w:spacing w:val="-4"/>
          <w:sz w:val="22"/>
          <w:szCs w:val="22"/>
          <w:highlight w:val="none"/>
        </w:rPr>
        <w:t>起至</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年</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月</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日</w:t>
      </w:r>
      <w:r>
        <w:rPr>
          <w:rFonts w:hint="eastAsia" w:ascii="方正仿宋_GBK" w:hAnsi="仿宋" w:eastAsia="方正仿宋_GBK" w:cs="仿宋"/>
          <w:color w:val="auto"/>
          <w:spacing w:val="-4"/>
          <w:sz w:val="22"/>
          <w:szCs w:val="22"/>
          <w:highlight w:val="none"/>
        </w:rPr>
        <w:t>止，每月租金为</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rPr>
        <w:t>元，大写：</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rPr>
        <w:t>元整。</w:t>
      </w:r>
      <w:r>
        <w:rPr>
          <w:rFonts w:hint="eastAsia" w:ascii="方正仿宋_GBK" w:hAnsi="仿宋" w:eastAsia="方正仿宋_GBK" w:cs="仿宋"/>
          <w:color w:val="auto"/>
          <w:spacing w:val="-4"/>
          <w:sz w:val="22"/>
          <w:szCs w:val="22"/>
          <w:highlight w:val="none"/>
          <w:lang w:eastAsia="zh-CN"/>
        </w:rPr>
        <w:t>（每月租金为：第一年每月租金</w:t>
      </w:r>
      <w:r>
        <w:rPr>
          <w:rFonts w:hint="eastAsia" w:ascii="方正仿宋_GBK" w:hAnsi="仿宋" w:eastAsia="方正仿宋_GBK" w:cs="仿宋"/>
          <w:color w:val="auto"/>
          <w:spacing w:val="-4"/>
          <w:sz w:val="22"/>
          <w:szCs w:val="22"/>
          <w:highlight w:val="none"/>
          <w:lang w:val="en-US" w:eastAsia="zh-CN"/>
        </w:rPr>
        <w:t>*105%</w:t>
      </w:r>
      <w:r>
        <w:rPr>
          <w:rFonts w:hint="eastAsia" w:ascii="方正仿宋_GBK" w:hAnsi="仿宋" w:eastAsia="方正仿宋_GBK" w:cs="仿宋"/>
          <w:color w:val="auto"/>
          <w:spacing w:val="-4"/>
          <w:sz w:val="22"/>
          <w:szCs w:val="22"/>
          <w:highlight w:val="none"/>
          <w:lang w:eastAsia="zh-CN"/>
        </w:rPr>
        <w:t>）</w:t>
      </w:r>
    </w:p>
    <w:p w14:paraId="2540FB44">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color w:val="auto"/>
          <w:spacing w:val="-4"/>
          <w:sz w:val="22"/>
          <w:szCs w:val="22"/>
          <w:highlight w:val="none"/>
          <w:lang w:eastAsia="zh-CN"/>
        </w:rPr>
      </w:pPr>
      <w:r>
        <w:rPr>
          <w:rFonts w:hint="eastAsia" w:ascii="方正仿宋_GBK" w:hAnsi="仿宋" w:eastAsia="方正仿宋_GBK" w:cs="仿宋"/>
          <w:color w:val="auto"/>
          <w:spacing w:val="-4"/>
          <w:sz w:val="22"/>
          <w:szCs w:val="22"/>
          <w:highlight w:val="none"/>
        </w:rPr>
        <w:t>第三年，即</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年</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月</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日</w:t>
      </w:r>
      <w:r>
        <w:rPr>
          <w:rFonts w:hint="eastAsia" w:ascii="方正仿宋_GBK" w:hAnsi="仿宋" w:eastAsia="方正仿宋_GBK" w:cs="仿宋"/>
          <w:color w:val="auto"/>
          <w:spacing w:val="-4"/>
          <w:sz w:val="22"/>
          <w:szCs w:val="22"/>
          <w:highlight w:val="none"/>
        </w:rPr>
        <w:t>起至</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年</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月</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日</w:t>
      </w:r>
      <w:r>
        <w:rPr>
          <w:rFonts w:hint="eastAsia" w:ascii="方正仿宋_GBK" w:hAnsi="仿宋" w:eastAsia="方正仿宋_GBK" w:cs="仿宋"/>
          <w:color w:val="auto"/>
          <w:spacing w:val="-4"/>
          <w:sz w:val="22"/>
          <w:szCs w:val="22"/>
          <w:highlight w:val="none"/>
        </w:rPr>
        <w:t>止，每月租金为</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rPr>
        <w:t>元，大写：</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rPr>
        <w:t>元整。</w:t>
      </w:r>
      <w:r>
        <w:rPr>
          <w:rFonts w:hint="eastAsia" w:ascii="方正仿宋_GBK" w:hAnsi="仿宋" w:eastAsia="方正仿宋_GBK" w:cs="仿宋"/>
          <w:color w:val="auto"/>
          <w:spacing w:val="-4"/>
          <w:sz w:val="22"/>
          <w:szCs w:val="22"/>
          <w:highlight w:val="none"/>
          <w:lang w:eastAsia="zh-CN"/>
        </w:rPr>
        <w:t>（每月租金为：第一年每月租金</w:t>
      </w:r>
      <w:r>
        <w:rPr>
          <w:rFonts w:hint="eastAsia" w:ascii="方正仿宋_GBK" w:hAnsi="仿宋" w:eastAsia="方正仿宋_GBK" w:cs="仿宋"/>
          <w:color w:val="auto"/>
          <w:spacing w:val="-4"/>
          <w:sz w:val="22"/>
          <w:szCs w:val="22"/>
          <w:highlight w:val="none"/>
          <w:lang w:val="en-US" w:eastAsia="zh-CN"/>
        </w:rPr>
        <w:t>*110%</w:t>
      </w:r>
      <w:r>
        <w:rPr>
          <w:rFonts w:hint="eastAsia" w:ascii="方正仿宋_GBK" w:hAnsi="仿宋" w:eastAsia="方正仿宋_GBK" w:cs="仿宋"/>
          <w:color w:val="auto"/>
          <w:spacing w:val="-4"/>
          <w:sz w:val="22"/>
          <w:szCs w:val="22"/>
          <w:highlight w:val="none"/>
          <w:lang w:eastAsia="zh-CN"/>
        </w:rPr>
        <w:t>）</w:t>
      </w:r>
    </w:p>
    <w:p w14:paraId="13F5EE88">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第</w:t>
      </w:r>
      <w:r>
        <w:rPr>
          <w:rFonts w:hint="eastAsia" w:ascii="方正仿宋_GBK" w:hAnsi="仿宋" w:eastAsia="方正仿宋_GBK" w:cs="仿宋"/>
          <w:color w:val="auto"/>
          <w:spacing w:val="-4"/>
          <w:sz w:val="22"/>
          <w:szCs w:val="22"/>
          <w:highlight w:val="none"/>
          <w:lang w:eastAsia="zh-CN"/>
        </w:rPr>
        <w:t>四</w:t>
      </w:r>
      <w:r>
        <w:rPr>
          <w:rFonts w:hint="eastAsia" w:ascii="方正仿宋_GBK" w:hAnsi="仿宋" w:eastAsia="方正仿宋_GBK" w:cs="仿宋"/>
          <w:color w:val="auto"/>
          <w:spacing w:val="-4"/>
          <w:sz w:val="22"/>
          <w:szCs w:val="22"/>
          <w:highlight w:val="none"/>
        </w:rPr>
        <w:t>年，即</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年</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月</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日</w:t>
      </w:r>
      <w:r>
        <w:rPr>
          <w:rFonts w:hint="eastAsia" w:ascii="方正仿宋_GBK" w:hAnsi="仿宋" w:eastAsia="方正仿宋_GBK" w:cs="仿宋"/>
          <w:color w:val="auto"/>
          <w:spacing w:val="-4"/>
          <w:sz w:val="22"/>
          <w:szCs w:val="22"/>
          <w:highlight w:val="none"/>
        </w:rPr>
        <w:t>起至</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年</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月</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日</w:t>
      </w:r>
      <w:r>
        <w:rPr>
          <w:rFonts w:hint="eastAsia" w:ascii="方正仿宋_GBK" w:hAnsi="仿宋" w:eastAsia="方正仿宋_GBK" w:cs="仿宋"/>
          <w:color w:val="auto"/>
          <w:spacing w:val="-4"/>
          <w:sz w:val="22"/>
          <w:szCs w:val="22"/>
          <w:highlight w:val="none"/>
        </w:rPr>
        <w:t>止，每月租金为</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rPr>
        <w:t>元，大写：</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rPr>
        <w:t>元整。</w:t>
      </w:r>
      <w:r>
        <w:rPr>
          <w:rFonts w:hint="eastAsia" w:ascii="方正仿宋_GBK" w:hAnsi="仿宋" w:eastAsia="方正仿宋_GBK" w:cs="仿宋"/>
          <w:color w:val="auto"/>
          <w:spacing w:val="-4"/>
          <w:sz w:val="22"/>
          <w:szCs w:val="22"/>
          <w:highlight w:val="none"/>
          <w:lang w:eastAsia="zh-CN"/>
        </w:rPr>
        <w:t>（每月租金为：第一年每月租金</w:t>
      </w:r>
      <w:r>
        <w:rPr>
          <w:rFonts w:hint="eastAsia" w:ascii="方正仿宋_GBK" w:hAnsi="仿宋" w:eastAsia="方正仿宋_GBK" w:cs="仿宋"/>
          <w:color w:val="auto"/>
          <w:spacing w:val="-4"/>
          <w:sz w:val="22"/>
          <w:szCs w:val="22"/>
          <w:highlight w:val="none"/>
          <w:lang w:val="en-US" w:eastAsia="zh-CN"/>
        </w:rPr>
        <w:t>*115%</w:t>
      </w:r>
      <w:r>
        <w:rPr>
          <w:rFonts w:hint="eastAsia" w:ascii="方正仿宋_GBK" w:hAnsi="仿宋" w:eastAsia="方正仿宋_GBK" w:cs="仿宋"/>
          <w:color w:val="auto"/>
          <w:spacing w:val="-4"/>
          <w:sz w:val="22"/>
          <w:szCs w:val="22"/>
          <w:highlight w:val="none"/>
          <w:lang w:eastAsia="zh-CN"/>
        </w:rPr>
        <w:t>）</w:t>
      </w:r>
    </w:p>
    <w:p w14:paraId="38D2FB99">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color w:val="auto"/>
          <w:spacing w:val="-4"/>
          <w:sz w:val="22"/>
          <w:szCs w:val="22"/>
          <w:highlight w:val="none"/>
          <w:lang w:eastAsia="zh-CN"/>
        </w:rPr>
      </w:pPr>
      <w:r>
        <w:rPr>
          <w:rFonts w:hint="eastAsia" w:ascii="方正仿宋_GBK" w:hAnsi="仿宋" w:eastAsia="方正仿宋_GBK" w:cs="仿宋"/>
          <w:color w:val="auto"/>
          <w:spacing w:val="-4"/>
          <w:sz w:val="22"/>
          <w:szCs w:val="22"/>
          <w:highlight w:val="none"/>
        </w:rPr>
        <w:t>第</w:t>
      </w:r>
      <w:r>
        <w:rPr>
          <w:rFonts w:hint="eastAsia" w:ascii="方正仿宋_GBK" w:hAnsi="仿宋" w:eastAsia="方正仿宋_GBK" w:cs="仿宋"/>
          <w:color w:val="auto"/>
          <w:spacing w:val="-4"/>
          <w:sz w:val="22"/>
          <w:szCs w:val="22"/>
          <w:highlight w:val="none"/>
          <w:lang w:eastAsia="zh-CN"/>
        </w:rPr>
        <w:t>五</w:t>
      </w:r>
      <w:r>
        <w:rPr>
          <w:rFonts w:hint="eastAsia" w:ascii="方正仿宋_GBK" w:hAnsi="仿宋" w:eastAsia="方正仿宋_GBK" w:cs="仿宋"/>
          <w:color w:val="auto"/>
          <w:spacing w:val="-4"/>
          <w:sz w:val="22"/>
          <w:szCs w:val="22"/>
          <w:highlight w:val="none"/>
        </w:rPr>
        <w:t>年，即</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年</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月</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日</w:t>
      </w:r>
      <w:r>
        <w:rPr>
          <w:rFonts w:hint="eastAsia" w:ascii="方正仿宋_GBK" w:hAnsi="仿宋" w:eastAsia="方正仿宋_GBK" w:cs="仿宋"/>
          <w:color w:val="auto"/>
          <w:spacing w:val="-4"/>
          <w:sz w:val="22"/>
          <w:szCs w:val="22"/>
          <w:highlight w:val="none"/>
        </w:rPr>
        <w:t>起至</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年</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月</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日</w:t>
      </w:r>
      <w:r>
        <w:rPr>
          <w:rFonts w:hint="eastAsia" w:ascii="方正仿宋_GBK" w:hAnsi="仿宋" w:eastAsia="方正仿宋_GBK" w:cs="仿宋"/>
          <w:color w:val="auto"/>
          <w:spacing w:val="-4"/>
          <w:sz w:val="22"/>
          <w:szCs w:val="22"/>
          <w:highlight w:val="none"/>
        </w:rPr>
        <w:t>止，每月租金为</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rPr>
        <w:t>元，大写：</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rPr>
        <w:t>元整。</w:t>
      </w:r>
      <w:r>
        <w:rPr>
          <w:rFonts w:hint="eastAsia" w:ascii="方正仿宋_GBK" w:hAnsi="仿宋" w:eastAsia="方正仿宋_GBK" w:cs="仿宋"/>
          <w:color w:val="auto"/>
          <w:spacing w:val="-4"/>
          <w:sz w:val="22"/>
          <w:szCs w:val="22"/>
          <w:highlight w:val="none"/>
          <w:lang w:eastAsia="zh-CN"/>
        </w:rPr>
        <w:t>（每月租金为：第一年每月租金</w:t>
      </w:r>
      <w:r>
        <w:rPr>
          <w:rFonts w:hint="eastAsia" w:ascii="方正仿宋_GBK" w:hAnsi="仿宋" w:eastAsia="方正仿宋_GBK" w:cs="仿宋"/>
          <w:color w:val="auto"/>
          <w:spacing w:val="-4"/>
          <w:sz w:val="22"/>
          <w:szCs w:val="22"/>
          <w:highlight w:val="none"/>
          <w:lang w:val="en-US" w:eastAsia="zh-CN"/>
        </w:rPr>
        <w:t>*120%</w:t>
      </w:r>
      <w:r>
        <w:rPr>
          <w:rFonts w:hint="eastAsia" w:ascii="方正仿宋_GBK" w:hAnsi="仿宋" w:eastAsia="方正仿宋_GBK" w:cs="仿宋"/>
          <w:color w:val="auto"/>
          <w:spacing w:val="-4"/>
          <w:sz w:val="22"/>
          <w:szCs w:val="22"/>
          <w:highlight w:val="none"/>
          <w:lang w:eastAsia="zh-CN"/>
        </w:rPr>
        <w:t>）</w:t>
      </w:r>
    </w:p>
    <w:p w14:paraId="079EE695">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4.2  租金支付时间：</w:t>
      </w:r>
    </w:p>
    <w:p w14:paraId="2B0D2B1B">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4.2.1 乙方遵循先支付租金,后使用租赁房屋的原则支付租金。</w:t>
      </w:r>
    </w:p>
    <w:p w14:paraId="4855E42C">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4.2.2 租金每季度交纳一次，其中第一季度租金于</w:t>
      </w:r>
      <w:r>
        <w:rPr>
          <w:rFonts w:hint="eastAsia" w:ascii="方正仿宋_GBK" w:hAnsi="仿宋" w:eastAsia="方正仿宋_GBK" w:cs="仿宋"/>
          <w:color w:val="auto"/>
          <w:spacing w:val="-4"/>
          <w:sz w:val="22"/>
          <w:szCs w:val="22"/>
          <w:highlight w:val="none"/>
          <w:lang w:eastAsia="zh-CN"/>
        </w:rPr>
        <w:t>合同签订后</w:t>
      </w:r>
      <w:r>
        <w:rPr>
          <w:rFonts w:hint="eastAsia" w:ascii="方正仿宋_GBK" w:hAnsi="仿宋" w:eastAsia="方正仿宋_GBK" w:cs="仿宋"/>
          <w:color w:val="auto"/>
          <w:spacing w:val="-4"/>
          <w:sz w:val="22"/>
          <w:szCs w:val="22"/>
          <w:highlight w:val="none"/>
          <w:lang w:val="en-US" w:eastAsia="zh-CN"/>
        </w:rPr>
        <w:t>5</w:t>
      </w:r>
      <w:r>
        <w:rPr>
          <w:rFonts w:hint="eastAsia" w:ascii="方正仿宋_GBK" w:hAnsi="仿宋" w:eastAsia="方正仿宋_GBK" w:cs="仿宋"/>
          <w:color w:val="auto"/>
          <w:spacing w:val="-4"/>
          <w:sz w:val="22"/>
          <w:szCs w:val="22"/>
          <w:highlight w:val="none"/>
        </w:rPr>
        <w:t>日</w:t>
      </w:r>
      <w:r>
        <w:rPr>
          <w:rFonts w:hint="eastAsia" w:ascii="方正仿宋_GBK" w:hAnsi="仿宋" w:eastAsia="方正仿宋_GBK" w:cs="仿宋"/>
          <w:color w:val="auto"/>
          <w:spacing w:val="-4"/>
          <w:sz w:val="22"/>
          <w:szCs w:val="22"/>
          <w:highlight w:val="none"/>
          <w:lang w:eastAsia="zh-CN"/>
        </w:rPr>
        <w:t>内</w:t>
      </w:r>
      <w:r>
        <w:rPr>
          <w:rFonts w:hint="eastAsia" w:ascii="方正仿宋_GBK" w:hAnsi="仿宋" w:eastAsia="方正仿宋_GBK" w:cs="仿宋"/>
          <w:color w:val="auto"/>
          <w:spacing w:val="-4"/>
          <w:sz w:val="22"/>
          <w:szCs w:val="22"/>
          <w:highlight w:val="none"/>
        </w:rPr>
        <w:t xml:space="preserve">交纳，其后的每季度租金应当于上一季度结束前10日内支付，先缴后租用。       </w:t>
      </w:r>
    </w:p>
    <w:p w14:paraId="0A6683D4">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 xml:space="preserve">4.3 租金支付方式：  </w:t>
      </w:r>
    </w:p>
    <w:p w14:paraId="5F5ADF92">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4.3.1乙方向甲方进行“银行转帐”支付租金，乙方转账后需在5个工作日内将转账凭证交给甲方，甲方查证租金到账后出具租金票据，如果乙方不将转账凭证交付甲方出具票据，视为乙方未缴纳租金。</w:t>
      </w:r>
    </w:p>
    <w:p w14:paraId="436A4099">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甲方收费专用账户为：</w:t>
      </w:r>
    </w:p>
    <w:p w14:paraId="6E29D26D">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default" w:ascii="方正仿宋_GBK" w:hAnsi="Calibri" w:eastAsia="方正仿宋_GBK" w:cs="Times New Roman"/>
          <w:color w:val="auto"/>
          <w:spacing w:val="-4"/>
          <w:sz w:val="22"/>
          <w:szCs w:val="22"/>
          <w:highlight w:val="none"/>
          <w:lang w:val="en-US" w:eastAsia="zh-CN"/>
        </w:rPr>
      </w:pPr>
      <w:r>
        <w:rPr>
          <w:rFonts w:hint="eastAsia" w:ascii="方正仿宋_GBK" w:eastAsia="方正仿宋_GBK"/>
          <w:color w:val="auto"/>
          <w:spacing w:val="-4"/>
          <w:sz w:val="22"/>
          <w:szCs w:val="22"/>
          <w:highlight w:val="none"/>
        </w:rPr>
        <w:t>开户行：</w:t>
      </w:r>
      <w:r>
        <w:rPr>
          <w:rFonts w:hint="eastAsia" w:ascii="方正仿宋_GBK" w:eastAsia="方正仿宋_GBK"/>
          <w:color w:val="auto"/>
          <w:spacing w:val="-4"/>
          <w:sz w:val="22"/>
          <w:szCs w:val="22"/>
          <w:highlight w:val="none"/>
          <w:lang w:val="en-US" w:eastAsia="zh-CN"/>
        </w:rPr>
        <w:t xml:space="preserve"> </w:t>
      </w:r>
      <w:r>
        <w:rPr>
          <w:rFonts w:hint="eastAsia" w:ascii="方正仿宋_GBK" w:hAnsi="Calibri" w:eastAsia="方正仿宋_GBK" w:cs="Times New Roman"/>
          <w:color w:val="auto"/>
          <w:spacing w:val="-4"/>
          <w:sz w:val="22"/>
          <w:szCs w:val="22"/>
          <w:highlight w:val="none"/>
        </w:rPr>
        <w:t>工商银行</w:t>
      </w:r>
      <w:r>
        <w:rPr>
          <w:rFonts w:hint="eastAsia" w:ascii="方正仿宋_GBK" w:hAnsi="Calibri" w:eastAsia="方正仿宋_GBK" w:cs="Times New Roman"/>
          <w:color w:val="auto"/>
          <w:spacing w:val="-4"/>
          <w:sz w:val="22"/>
          <w:szCs w:val="22"/>
          <w:highlight w:val="none"/>
          <w:lang w:val="en-US" w:eastAsia="zh-CN"/>
        </w:rPr>
        <w:t>重庆巴南支行</w:t>
      </w:r>
    </w:p>
    <w:p w14:paraId="5C5F0B77">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default" w:ascii="方正仿宋_GBK" w:hAnsi="Calibri" w:eastAsia="方正仿宋_GBK" w:cs="Times New Roman"/>
          <w:color w:val="auto"/>
          <w:spacing w:val="-4"/>
          <w:sz w:val="22"/>
          <w:szCs w:val="22"/>
          <w:highlight w:val="none"/>
          <w:lang w:val="en-US" w:eastAsia="zh-CN"/>
        </w:rPr>
      </w:pPr>
      <w:r>
        <w:rPr>
          <w:rFonts w:hint="eastAsia" w:ascii="方正仿宋_GBK" w:hAnsi="Calibri" w:eastAsia="方正仿宋_GBK" w:cs="Times New Roman"/>
          <w:color w:val="auto"/>
          <w:spacing w:val="-4"/>
          <w:sz w:val="22"/>
          <w:szCs w:val="22"/>
          <w:highlight w:val="none"/>
        </w:rPr>
        <w:t>户名：</w:t>
      </w:r>
      <w:r>
        <w:rPr>
          <w:rFonts w:hint="eastAsia" w:ascii="方正仿宋_GBK" w:hAnsi="Calibri" w:eastAsia="方正仿宋_GBK" w:cs="Times New Roman"/>
          <w:color w:val="auto"/>
          <w:spacing w:val="-4"/>
          <w:sz w:val="22"/>
          <w:szCs w:val="22"/>
          <w:highlight w:val="none"/>
          <w:lang w:val="en-US" w:eastAsia="zh-CN"/>
        </w:rPr>
        <w:t xml:space="preserve"> </w:t>
      </w:r>
      <w:r>
        <w:rPr>
          <w:rFonts w:hint="eastAsia" w:ascii="方正仿宋_GBK" w:hAnsi="Calibri" w:eastAsia="方正仿宋_GBK" w:cs="Times New Roman"/>
          <w:color w:val="auto"/>
          <w:spacing w:val="-4"/>
          <w:sz w:val="22"/>
          <w:szCs w:val="22"/>
          <w:highlight w:val="none"/>
        </w:rPr>
        <w:t>重庆市巴南建设（集团）有限公司</w:t>
      </w:r>
    </w:p>
    <w:p w14:paraId="0114BEA6">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Calibri" w:eastAsia="方正仿宋_GBK" w:cs="Times New Roman"/>
          <w:color w:val="auto"/>
          <w:spacing w:val="-4"/>
          <w:sz w:val="22"/>
          <w:szCs w:val="22"/>
          <w:highlight w:val="none"/>
          <w:lang w:eastAsia="zh-CN"/>
        </w:rPr>
      </w:pPr>
      <w:r>
        <w:rPr>
          <w:rFonts w:hint="eastAsia" w:ascii="方正仿宋_GBK" w:hAnsi="Calibri" w:eastAsia="方正仿宋_GBK" w:cs="Times New Roman"/>
          <w:color w:val="auto"/>
          <w:spacing w:val="-4"/>
          <w:sz w:val="22"/>
          <w:szCs w:val="22"/>
          <w:highlight w:val="none"/>
        </w:rPr>
        <w:t>帐号：</w:t>
      </w:r>
      <w:r>
        <w:rPr>
          <w:rFonts w:hint="eastAsia" w:ascii="方正仿宋_GBK" w:hAnsi="Calibri" w:eastAsia="方正仿宋_GBK" w:cs="Times New Roman"/>
          <w:color w:val="auto"/>
          <w:spacing w:val="-4"/>
          <w:sz w:val="22"/>
          <w:szCs w:val="22"/>
          <w:highlight w:val="none"/>
          <w:lang w:val="en-US" w:eastAsia="zh-CN"/>
        </w:rPr>
        <w:t xml:space="preserve"> </w:t>
      </w:r>
      <w:r>
        <w:rPr>
          <w:rFonts w:hint="eastAsia" w:ascii="方正仿宋_GBK" w:hAnsi="Calibri" w:eastAsia="方正仿宋_GBK" w:cs="Times New Roman"/>
          <w:color w:val="auto"/>
          <w:spacing w:val="-4"/>
          <w:sz w:val="22"/>
          <w:szCs w:val="22"/>
          <w:highlight w:val="none"/>
        </w:rPr>
        <w:t>3100082019200288294</w:t>
      </w:r>
    </w:p>
    <w:p w14:paraId="25806A77">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 xml:space="preserve">4.3.2本合同约定的租期届满后，未经甲方书面同意，无论乙方是否继续向甲方租金账户交付租金，也无论乙方是否交回租赁房屋，均不视为甲方同意续租，不形成新的租赁关系，甲方有权立即收回租赁房屋。 </w:t>
      </w:r>
    </w:p>
    <w:p w14:paraId="01095EC0">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4.4 本合同无效、终止或被解除，乙方应当按约按时向甲方返还租赁房屋，逾期返还的，应按</w:t>
      </w:r>
      <w:r>
        <w:rPr>
          <w:rFonts w:hint="eastAsia" w:ascii="方正仿宋_GBK" w:hAnsi="仿宋" w:eastAsia="方正仿宋_GBK" w:cs="仿宋"/>
          <w:color w:val="auto"/>
          <w:spacing w:val="-4"/>
          <w:sz w:val="22"/>
          <w:szCs w:val="22"/>
          <w:highlight w:val="none"/>
        </w:rPr>
        <w:t>日计算租金的二倍</w:t>
      </w:r>
      <w:r>
        <w:rPr>
          <w:rFonts w:hint="eastAsia" w:ascii="方正仿宋_GBK" w:eastAsia="方正仿宋_GBK"/>
          <w:color w:val="auto"/>
          <w:spacing w:val="-4"/>
          <w:sz w:val="22"/>
          <w:szCs w:val="22"/>
          <w:highlight w:val="none"/>
        </w:rPr>
        <w:t>标准，自逾期返还之日起按日向甲方支付占有使用费至租赁房屋按约全部返还至甲方之日止。</w:t>
      </w:r>
    </w:p>
    <w:p w14:paraId="254D9F01">
      <w:pPr>
        <w:pStyle w:val="3"/>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K" w:hAnsi="仿宋" w:eastAsia="方正仿宋_GBK" w:cs="仿宋"/>
          <w:b/>
          <w:color w:val="auto"/>
          <w:spacing w:val="-4"/>
          <w:sz w:val="22"/>
          <w:szCs w:val="22"/>
          <w:highlight w:val="none"/>
        </w:rPr>
      </w:pPr>
      <w:r>
        <w:rPr>
          <w:rFonts w:hint="eastAsia" w:ascii="方正仿宋_GBK" w:hAnsi="仿宋" w:eastAsia="方正仿宋_GBK" w:cs="仿宋"/>
          <w:color w:val="auto"/>
          <w:spacing w:val="-4"/>
          <w:sz w:val="22"/>
          <w:szCs w:val="22"/>
          <w:highlight w:val="none"/>
        </w:rPr>
        <w:t xml:space="preserve">    </w:t>
      </w:r>
      <w:r>
        <w:rPr>
          <w:rFonts w:hint="eastAsia" w:ascii="方正仿宋_GBK" w:hAnsi="仿宋" w:eastAsia="方正仿宋_GBK" w:cs="仿宋"/>
          <w:b/>
          <w:color w:val="auto"/>
          <w:spacing w:val="-4"/>
          <w:sz w:val="22"/>
          <w:szCs w:val="22"/>
          <w:highlight w:val="none"/>
        </w:rPr>
        <w:t>第五条 履约保证金及其他费用</w:t>
      </w:r>
    </w:p>
    <w:p w14:paraId="1C4B21F2">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5.1乙方应在签订本合同五个工作日内向甲方支付一个月的租金金额即</w:t>
      </w:r>
      <w:r>
        <w:rPr>
          <w:rFonts w:ascii="Arial" w:hAnsi="Arial" w:eastAsia="方正仿宋_GBK" w:cs="Arial"/>
          <w:color w:val="auto"/>
          <w:spacing w:val="-4"/>
          <w:sz w:val="22"/>
          <w:szCs w:val="22"/>
          <w:highlight w:val="none"/>
          <w:u w:val="single"/>
        </w:rPr>
        <w:t>¥</w:t>
      </w:r>
      <w:r>
        <w:rPr>
          <w:rFonts w:hint="eastAsia" w:ascii="方正仿宋_GBK" w:hAnsi="仿宋" w:eastAsia="方正仿宋_GBK" w:cs="仿宋"/>
          <w:color w:val="auto"/>
          <w:spacing w:val="-4"/>
          <w:sz w:val="22"/>
          <w:szCs w:val="22"/>
          <w:highlight w:val="none"/>
          <w:u w:val="single"/>
        </w:rPr>
        <w:t xml:space="preserve">  </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u w:val="single"/>
        </w:rPr>
        <w:t xml:space="preserve"> </w:t>
      </w:r>
      <w:r>
        <w:rPr>
          <w:rFonts w:hint="eastAsia" w:ascii="方正仿宋_GBK" w:hAnsi="仿宋" w:eastAsia="方正仿宋_GBK" w:cs="仿宋"/>
          <w:color w:val="auto"/>
          <w:spacing w:val="-4"/>
          <w:sz w:val="22"/>
          <w:szCs w:val="22"/>
          <w:highlight w:val="none"/>
        </w:rPr>
        <w:t>元/月（大写：人民币</w:t>
      </w:r>
      <w:r>
        <w:rPr>
          <w:rFonts w:hint="eastAsia" w:ascii="方正仿宋_GBK" w:hAnsi="仿宋" w:eastAsia="方正仿宋_GBK" w:cs="仿宋"/>
          <w:color w:val="auto"/>
          <w:spacing w:val="-4"/>
          <w:sz w:val="22"/>
          <w:szCs w:val="22"/>
          <w:highlight w:val="none"/>
          <w:u w:val="single"/>
        </w:rPr>
        <w:t xml:space="preserve">        </w:t>
      </w:r>
      <w:r>
        <w:rPr>
          <w:rFonts w:hint="eastAsia" w:ascii="方正仿宋_GBK" w:hAnsi="仿宋" w:eastAsia="方正仿宋_GBK" w:cs="仿宋"/>
          <w:color w:val="auto"/>
          <w:spacing w:val="-4"/>
          <w:sz w:val="22"/>
          <w:szCs w:val="22"/>
          <w:highlight w:val="none"/>
          <w:u w:val="single"/>
          <w:lang w:val="en-US" w:eastAsia="zh-CN"/>
        </w:rPr>
        <w:t xml:space="preserve"> </w:t>
      </w:r>
      <w:r>
        <w:rPr>
          <w:rFonts w:hint="eastAsia" w:ascii="方正仿宋_GBK" w:hAnsi="仿宋" w:eastAsia="方正仿宋_GBK" w:cs="仿宋"/>
          <w:color w:val="auto"/>
          <w:spacing w:val="-4"/>
          <w:sz w:val="22"/>
          <w:szCs w:val="22"/>
          <w:highlight w:val="none"/>
        </w:rPr>
        <w:t>）作为履约保证金</w:t>
      </w:r>
      <w:r>
        <w:rPr>
          <w:rFonts w:hint="eastAsia" w:ascii="方正仿宋_GBK" w:hAnsi="仿宋" w:eastAsia="方正仿宋_GBK" w:cs="仿宋"/>
          <w:color w:val="auto"/>
          <w:spacing w:val="-4"/>
          <w:sz w:val="22"/>
          <w:szCs w:val="22"/>
          <w:highlight w:val="none"/>
          <w:lang w:eastAsia="zh-CN"/>
        </w:rPr>
        <w:t>（可将竞租保证金转为履约保证金）</w:t>
      </w:r>
      <w:r>
        <w:rPr>
          <w:rFonts w:hint="eastAsia" w:ascii="方正仿宋_GBK" w:hAnsi="仿宋" w:eastAsia="方正仿宋_GBK" w:cs="仿宋"/>
          <w:color w:val="auto"/>
          <w:spacing w:val="-4"/>
          <w:sz w:val="22"/>
          <w:szCs w:val="22"/>
          <w:highlight w:val="none"/>
        </w:rPr>
        <w:t xml:space="preserve">。 </w:t>
      </w:r>
    </w:p>
    <w:p w14:paraId="7EB38636">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5.2租赁期满，经甲方验收房屋无损坏、无安全隐患和其他经济</w:t>
      </w:r>
      <w:r>
        <w:rPr>
          <w:rFonts w:hint="eastAsia" w:ascii="方正仿宋_GBK" w:hAnsi="仿宋_GB2312" w:eastAsia="方正仿宋_GBK"/>
          <w:color w:val="auto"/>
          <w:spacing w:val="-4"/>
          <w:sz w:val="22"/>
          <w:szCs w:val="22"/>
          <w:highlight w:val="none"/>
        </w:rPr>
        <w:t>纠纷、</w:t>
      </w:r>
      <w:r>
        <w:rPr>
          <w:rFonts w:hint="eastAsia" w:ascii="方正仿宋_GBK" w:eastAsia="方正仿宋_GBK"/>
          <w:color w:val="auto"/>
          <w:spacing w:val="-4"/>
          <w:sz w:val="22"/>
          <w:szCs w:val="22"/>
          <w:highlight w:val="none"/>
        </w:rPr>
        <w:t>责任，乙方无违约责任或违约责任已承担的，并清场搬离且结清所有费用后无息退还乙方，</w:t>
      </w:r>
      <w:r>
        <w:rPr>
          <w:rFonts w:ascii="方正仿宋_GBK" w:eastAsia="方正仿宋_GBK"/>
          <w:color w:val="auto"/>
          <w:spacing w:val="-4"/>
          <w:sz w:val="22"/>
          <w:szCs w:val="22"/>
          <w:highlight w:val="none"/>
        </w:rPr>
        <w:t>乙方凭履约保证金缴款依据办理退款手续。</w:t>
      </w:r>
    </w:p>
    <w:p w14:paraId="5806ECF3">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 xml:space="preserve">5.3若乙方在合同履行过程中有逾期交纳租金及其他费用或有损坏甲方房屋内配置设施的，则甲方可在该保证金中扣除相应的费用，如该保证金不足以扣抵相应费用的，甲方有权继续向乙方追究赔偿。 </w:t>
      </w:r>
    </w:p>
    <w:p w14:paraId="35EC6087">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 xml:space="preserve">5.4 其他费用 </w:t>
      </w:r>
    </w:p>
    <w:p w14:paraId="2C3960F2">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color w:val="auto"/>
          <w:spacing w:val="-4"/>
          <w:sz w:val="22"/>
          <w:szCs w:val="22"/>
          <w:highlight w:val="none"/>
        </w:rPr>
      </w:pPr>
      <w:r>
        <w:rPr>
          <w:rFonts w:hint="eastAsia" w:ascii="方正仿宋_GBK" w:eastAsia="方正仿宋_GBK"/>
          <w:color w:val="auto"/>
          <w:spacing w:val="-4"/>
          <w:sz w:val="22"/>
          <w:szCs w:val="22"/>
          <w:highlight w:val="none"/>
        </w:rPr>
        <w:t>5.4.1 乙方应向租赁房屋所在地的物业管理公司交纳物业管理费，此费用由乙方承担</w:t>
      </w:r>
      <w:r>
        <w:rPr>
          <w:rFonts w:hint="eastAsia" w:ascii="方正仿宋_GBK" w:hAnsi="仿宋" w:eastAsia="方正仿宋_GBK" w:cs="仿宋"/>
          <w:color w:val="auto"/>
          <w:spacing w:val="-4"/>
          <w:sz w:val="22"/>
          <w:szCs w:val="22"/>
          <w:highlight w:val="none"/>
        </w:rPr>
        <w:t>。</w:t>
      </w:r>
    </w:p>
    <w:p w14:paraId="5CACD101">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5.4.2乙方所产生的生活垃圾需在市政管理相关部门指定区域内进行处理，相关生活垃圾处理费由</w:t>
      </w:r>
      <w:r>
        <w:rPr>
          <w:rFonts w:hint="eastAsia" w:ascii="方正仿宋_GBK" w:eastAsia="方正仿宋_GBK"/>
          <w:color w:val="auto"/>
          <w:spacing w:val="-4"/>
          <w:sz w:val="22"/>
          <w:szCs w:val="22"/>
          <w:highlight w:val="none"/>
        </w:rPr>
        <w:t>乙方承担</w:t>
      </w:r>
      <w:r>
        <w:rPr>
          <w:rFonts w:hint="eastAsia" w:ascii="方正仿宋_GBK" w:hAnsi="仿宋" w:eastAsia="方正仿宋_GBK" w:cs="仿宋"/>
          <w:color w:val="auto"/>
          <w:spacing w:val="-4"/>
          <w:sz w:val="22"/>
          <w:szCs w:val="22"/>
          <w:highlight w:val="none"/>
        </w:rPr>
        <w:t>。</w:t>
      </w:r>
    </w:p>
    <w:p w14:paraId="7B4C78CE">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5.4.2 乙方所用之水、电、气等费用均由乙方承担，乙方必须在物业管理公司收到水、电、气相关管理部门发出交款通知书五日内，按物管公司每月抄表实际用量交清，并保留缴费凭证作为退付履约保证金的依据。通讯、网络等其他与乙方有关的费用由乙方承担并自行交纳。</w:t>
      </w:r>
    </w:p>
    <w:p w14:paraId="46A1A592">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5.4.3 乙方自行承担有关部门在乙方装修、经营过程中收取的税费及其他费用。</w:t>
      </w:r>
    </w:p>
    <w:p w14:paraId="7E811D3D">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5.4.4 乙方还应承担5.4 其他费用规定的所有费用因乙方原因逾期缴纳或支付所产生的所有逾期付款责任。</w:t>
      </w:r>
    </w:p>
    <w:p w14:paraId="630B0423">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b/>
          <w:color w:val="auto"/>
          <w:spacing w:val="-4"/>
          <w:sz w:val="22"/>
          <w:szCs w:val="22"/>
          <w:highlight w:val="none"/>
        </w:rPr>
      </w:pPr>
      <w:r>
        <w:rPr>
          <w:rFonts w:hint="eastAsia" w:ascii="方正仿宋_GBK" w:eastAsia="方正仿宋_GBK"/>
          <w:b/>
          <w:color w:val="auto"/>
          <w:spacing w:val="-4"/>
          <w:sz w:val="22"/>
          <w:szCs w:val="22"/>
          <w:highlight w:val="none"/>
        </w:rPr>
        <w:t xml:space="preserve">第六条  房屋及附属设施的维护 </w:t>
      </w:r>
    </w:p>
    <w:p w14:paraId="529CDE01">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ascii="方正仿宋_GBK" w:eastAsia="方正仿宋_GBK"/>
          <w:color w:val="auto"/>
          <w:spacing w:val="-4"/>
          <w:sz w:val="22"/>
          <w:szCs w:val="22"/>
          <w:highlight w:val="none"/>
        </w:rPr>
        <w:t>6.</w:t>
      </w:r>
      <w:r>
        <w:rPr>
          <w:rFonts w:hint="eastAsia" w:ascii="方正仿宋_GBK" w:eastAsia="方正仿宋_GBK"/>
          <w:color w:val="auto"/>
          <w:spacing w:val="-4"/>
          <w:sz w:val="22"/>
          <w:szCs w:val="22"/>
          <w:highlight w:val="none"/>
          <w:lang w:val="en-US" w:eastAsia="zh-CN"/>
        </w:rPr>
        <w:t>1</w:t>
      </w:r>
      <w:r>
        <w:rPr>
          <w:rFonts w:hint="eastAsia" w:ascii="方正仿宋_GBK" w:eastAsia="方正仿宋_GBK"/>
          <w:color w:val="auto"/>
          <w:spacing w:val="-4"/>
          <w:sz w:val="22"/>
          <w:szCs w:val="22"/>
          <w:highlight w:val="none"/>
        </w:rPr>
        <w:t>乙方承担租赁期间和乙方占有使用期间租赁物的全部维修义务。乙方在租赁期间应负责房屋内原有各项设施的维护、保养，符合各项安全要求，甲方对此有检查监督权。</w:t>
      </w:r>
    </w:p>
    <w:p w14:paraId="1B59560C">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6.</w:t>
      </w:r>
      <w:r>
        <w:rPr>
          <w:rFonts w:hint="eastAsia" w:ascii="方正仿宋_GBK" w:eastAsia="方正仿宋_GBK"/>
          <w:color w:val="auto"/>
          <w:spacing w:val="-4"/>
          <w:sz w:val="22"/>
          <w:szCs w:val="22"/>
          <w:highlight w:val="none"/>
          <w:lang w:val="en-US" w:eastAsia="zh-CN"/>
        </w:rPr>
        <w:t>2</w:t>
      </w:r>
      <w:r>
        <w:rPr>
          <w:rFonts w:hint="eastAsia" w:ascii="方正仿宋_GBK" w:eastAsia="方正仿宋_GBK"/>
          <w:color w:val="auto"/>
          <w:spacing w:val="-4"/>
          <w:sz w:val="22"/>
          <w:szCs w:val="22"/>
          <w:highlight w:val="none"/>
        </w:rPr>
        <w:t xml:space="preserve"> 乙方对租赁房屋附属物负有妥善使用及维护之责任，对可能出现的故障和危险及时消除，以避免一切可能发生的隐患。如因乙方使用不当或不合理使用，致使该房屋及附属设施损坏或故障的，乙方应负责修复或承担赔偿责任。 </w:t>
      </w:r>
    </w:p>
    <w:p w14:paraId="08593427">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b/>
          <w:color w:val="auto"/>
          <w:spacing w:val="-4"/>
          <w:sz w:val="22"/>
          <w:szCs w:val="22"/>
          <w:highlight w:val="none"/>
        </w:rPr>
      </w:pPr>
      <w:r>
        <w:rPr>
          <w:rFonts w:hint="eastAsia" w:ascii="方正仿宋_GBK" w:eastAsia="方正仿宋_GBK"/>
          <w:b/>
          <w:color w:val="auto"/>
          <w:spacing w:val="-4"/>
          <w:sz w:val="22"/>
          <w:szCs w:val="22"/>
          <w:highlight w:val="none"/>
        </w:rPr>
        <w:t>第七条  权利义务</w:t>
      </w:r>
    </w:p>
    <w:p w14:paraId="44E9F031">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7.1 甲方权利与义务</w:t>
      </w:r>
    </w:p>
    <w:p w14:paraId="684EA4C7">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7.1.1 甲方向乙方出租房屋，供乙方租赁使用，并向乙方收取租金。</w:t>
      </w:r>
    </w:p>
    <w:p w14:paraId="5841D0F6">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7.1.2 租赁期间，甲方有权对乙方违反合同行为进行制止，有权提出整改建议。</w:t>
      </w:r>
    </w:p>
    <w:p w14:paraId="24E51C5C">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7.1.3 确保租赁期间乙方对租赁房屋的正常占有使用。</w:t>
      </w:r>
    </w:p>
    <w:p w14:paraId="6E49B85B">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7.2 乙方权利义务</w:t>
      </w:r>
    </w:p>
    <w:p w14:paraId="41CDD39C">
      <w:pPr>
        <w:pStyle w:val="3"/>
        <w:keepNext w:val="0"/>
        <w:keepLines w:val="0"/>
        <w:pageBreakBefore w:val="0"/>
        <w:widowControl w:val="0"/>
        <w:kinsoku/>
        <w:wordWrap/>
        <w:overflowPunct/>
        <w:topLinePunct w:val="0"/>
        <w:autoSpaceDE/>
        <w:autoSpaceDN/>
        <w:bidi w:val="0"/>
        <w:adjustRightInd/>
        <w:snapToGrid/>
        <w:spacing w:line="480" w:lineRule="exact"/>
        <w:ind w:firstLine="318" w:firstLineChars="15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 xml:space="preserve"> 7.2.1乙方应依照合同约定按时支付租金和履约保证金，并按时足额支付因使用租赁房屋产生的包括但不限于物管、水、电、气、所有相关税费等费用，甲方收到乙方相应付款后应向乙方出具对应票据或合法凭据。乙方保留相关缴纳凭证作为退付履约保证金的凭证。</w:t>
      </w:r>
    </w:p>
    <w:p w14:paraId="198811D6">
      <w:pPr>
        <w:pStyle w:val="3"/>
        <w:keepNext w:val="0"/>
        <w:keepLines w:val="0"/>
        <w:pageBreakBefore w:val="0"/>
        <w:widowControl w:val="0"/>
        <w:kinsoku/>
        <w:wordWrap/>
        <w:overflowPunct/>
        <w:topLinePunct w:val="0"/>
        <w:autoSpaceDE/>
        <w:autoSpaceDN/>
        <w:bidi w:val="0"/>
        <w:adjustRightInd/>
        <w:snapToGrid/>
        <w:spacing w:line="480" w:lineRule="exact"/>
        <w:ind w:firstLine="318" w:firstLineChars="15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7.2.2本合同签订后，向甲方或物业管理公司进行水、电、气等表的数据移交和过户工作，配合物业公司进行水、电、气表的抄表和收费工作。</w:t>
      </w:r>
    </w:p>
    <w:p w14:paraId="7D9EC1C0">
      <w:pPr>
        <w:pStyle w:val="3"/>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K" w:hAnsi="仿宋_GB2312" w:eastAsia="方正仿宋_GBK"/>
          <w:color w:val="auto"/>
          <w:spacing w:val="-4"/>
          <w:sz w:val="22"/>
          <w:szCs w:val="22"/>
          <w:highlight w:val="none"/>
        </w:rPr>
      </w:pPr>
      <w:r>
        <w:rPr>
          <w:rFonts w:hint="eastAsia" w:ascii="方正仿宋_GBK" w:eastAsia="方正仿宋_GBK"/>
          <w:color w:val="auto"/>
          <w:spacing w:val="-4"/>
          <w:sz w:val="22"/>
          <w:szCs w:val="22"/>
          <w:highlight w:val="none"/>
        </w:rPr>
        <w:t xml:space="preserve">    7.2.3</w:t>
      </w:r>
      <w:r>
        <w:rPr>
          <w:rFonts w:hint="eastAsia" w:ascii="方正仿宋_GBK" w:hAnsi="仿宋" w:eastAsia="方正仿宋_GBK" w:cs="仿宋"/>
          <w:color w:val="auto"/>
          <w:spacing w:val="-4"/>
          <w:sz w:val="22"/>
          <w:szCs w:val="22"/>
          <w:highlight w:val="none"/>
        </w:rPr>
        <w:t>本合同租赁期满，双方租赁关系自然终止。乙方应无条件立即交回租赁房屋；本合同解除的，乙方应在合同解除通知到达对方之日起3个工作日内或协议解除之日起3个工作日内交回租赁房屋。即使届时双方存在争议，争议可启动司法程序解决，不得因为双方存在其他争议而延迟交回房屋</w:t>
      </w:r>
      <w:r>
        <w:rPr>
          <w:rFonts w:hint="eastAsia" w:ascii="方正仿宋_GBK" w:hAnsi="仿宋_GB2312" w:eastAsia="方正仿宋_GBK"/>
          <w:color w:val="auto"/>
          <w:spacing w:val="-4"/>
          <w:sz w:val="22"/>
          <w:szCs w:val="22"/>
          <w:highlight w:val="none"/>
        </w:rPr>
        <w:t>。</w:t>
      </w:r>
    </w:p>
    <w:p w14:paraId="4D29E7B3">
      <w:pPr>
        <w:pStyle w:val="3"/>
        <w:keepNext w:val="0"/>
        <w:keepLines w:val="0"/>
        <w:pageBreakBefore w:val="0"/>
        <w:widowControl w:val="0"/>
        <w:kinsoku/>
        <w:wordWrap/>
        <w:overflowPunct/>
        <w:topLinePunct w:val="0"/>
        <w:autoSpaceDE/>
        <w:autoSpaceDN/>
        <w:bidi w:val="0"/>
        <w:adjustRightInd/>
        <w:snapToGrid/>
        <w:spacing w:line="480" w:lineRule="exact"/>
        <w:ind w:firstLine="600"/>
        <w:textAlignment w:val="auto"/>
        <w:rPr>
          <w:rFonts w:hint="eastAsia" w:ascii="方正仿宋_GBK" w:hAnsi="仿宋_GB2312" w:eastAsia="方正仿宋_GBK"/>
          <w:color w:val="auto"/>
          <w:spacing w:val="-4"/>
          <w:sz w:val="22"/>
          <w:szCs w:val="22"/>
          <w:highlight w:val="none"/>
        </w:rPr>
      </w:pPr>
      <w:r>
        <w:rPr>
          <w:rFonts w:hint="eastAsia" w:ascii="方正仿宋_GBK" w:eastAsia="方正仿宋_GBK"/>
          <w:color w:val="auto"/>
          <w:spacing w:val="-4"/>
          <w:sz w:val="22"/>
          <w:szCs w:val="22"/>
          <w:highlight w:val="none"/>
        </w:rPr>
        <w:t>7.2.4 乙方有义务在法律规定的范围内合法使用承租房屋，并按约定经营范围向工商行政管理部门及税务、卫生等部门办理工商营业执照及税务登记证、卫生许可证等相关证照。</w:t>
      </w:r>
      <w:r>
        <w:rPr>
          <w:rFonts w:hint="eastAsia" w:ascii="方正仿宋_GBK" w:hAnsi="仿宋_GB2312" w:eastAsia="方正仿宋_GBK"/>
          <w:color w:val="auto"/>
          <w:spacing w:val="-4"/>
          <w:sz w:val="22"/>
          <w:szCs w:val="22"/>
          <w:highlight w:val="none"/>
        </w:rPr>
        <w:t>乙方在租赁经营期间，必须取得法律、法规规定的同经营项目相关的经营资格，否则视为乙方违约。</w:t>
      </w:r>
    </w:p>
    <w:p w14:paraId="7AB144F6">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7.2.5 乙方应依照合同约定合理使用房屋，未征得甲方书面同意不得擅自改变房屋用途、结构等，不得擅自转租、转让、转借或调换使用，应对房屋尽到合理管理之义务，否则</w:t>
      </w:r>
      <w:r>
        <w:rPr>
          <w:rFonts w:hint="eastAsia" w:ascii="方正仿宋_GBK" w:hAnsi="仿宋_GB2312" w:eastAsia="方正仿宋_GBK"/>
          <w:color w:val="auto"/>
          <w:spacing w:val="-4"/>
          <w:sz w:val="22"/>
          <w:szCs w:val="22"/>
          <w:highlight w:val="none"/>
        </w:rPr>
        <w:t>视为乙方违约，</w:t>
      </w:r>
      <w:r>
        <w:rPr>
          <w:rFonts w:hint="eastAsia" w:ascii="方正仿宋_GBK" w:eastAsia="方正仿宋_GBK"/>
          <w:color w:val="auto"/>
          <w:spacing w:val="-4"/>
          <w:sz w:val="22"/>
          <w:szCs w:val="22"/>
          <w:highlight w:val="none"/>
        </w:rPr>
        <w:t>乙方应承担违约责任。</w:t>
      </w:r>
    </w:p>
    <w:p w14:paraId="795C7A0B">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7.2.6乙方在租赁期间应合法经营，不得利用租赁房屋进行违法活动，如违法，经营所造成的一切后果均由乙方承担，无论本合同是否终止，乙方租用期间产生的一切纠纷概由乙方负责处理。</w:t>
      </w:r>
    </w:p>
    <w:p w14:paraId="4B9C07B1">
      <w:pPr>
        <w:pStyle w:val="3"/>
        <w:keepNext w:val="0"/>
        <w:keepLines w:val="0"/>
        <w:pageBreakBefore w:val="0"/>
        <w:widowControl w:val="0"/>
        <w:kinsoku/>
        <w:wordWrap/>
        <w:overflowPunct/>
        <w:topLinePunct w:val="0"/>
        <w:autoSpaceDE/>
        <w:autoSpaceDN/>
        <w:bidi w:val="0"/>
        <w:adjustRightInd/>
        <w:snapToGrid/>
        <w:spacing w:line="480" w:lineRule="exact"/>
        <w:ind w:firstLine="440" w:firstLineChars="200"/>
        <w:textAlignment w:val="auto"/>
        <w:rPr>
          <w:rFonts w:hint="eastAsia" w:ascii="方正仿宋_GBK" w:hAnsi="方正仿宋_GBK" w:eastAsia="方正仿宋_GBK" w:cs="方正仿宋_GBK"/>
          <w:color w:val="auto"/>
          <w:sz w:val="22"/>
          <w:szCs w:val="22"/>
          <w:highlight w:val="none"/>
        </w:rPr>
      </w:pPr>
      <w:r>
        <w:rPr>
          <w:rFonts w:hint="eastAsia" w:ascii="方正仿宋_GBK" w:hAnsi="方正仿宋_GBK" w:eastAsia="方正仿宋_GBK" w:cs="方正仿宋_GBK"/>
          <w:color w:val="auto"/>
          <w:sz w:val="22"/>
          <w:szCs w:val="22"/>
          <w:highlight w:val="none"/>
        </w:rPr>
        <w:t>7.2.7乙方在租赁期间须严格遵守国家各项法律法规，积极配合甲方做好房屋区域安全防范及环境卫生等工作，门前四包、综合治理等工作应执行当地相关部门规定并承担全部责任，服从相关职能部门和甲方监督检查，由乙方原因产生的一切责任及损失由乙方承担。</w:t>
      </w:r>
    </w:p>
    <w:p w14:paraId="08B98F0E">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楷体_GBK" w:eastAsia="方正楷体_GBK"/>
          <w:color w:val="auto"/>
          <w:spacing w:val="-4"/>
          <w:sz w:val="22"/>
          <w:szCs w:val="22"/>
          <w:highlight w:val="none"/>
        </w:rPr>
      </w:pPr>
      <w:r>
        <w:rPr>
          <w:rFonts w:hint="eastAsia" w:ascii="方正仿宋_GBK" w:eastAsia="方正仿宋_GBK"/>
          <w:color w:val="auto"/>
          <w:spacing w:val="-4"/>
          <w:sz w:val="22"/>
          <w:szCs w:val="22"/>
          <w:highlight w:val="none"/>
        </w:rPr>
        <w:t>7.2.8乙方应按有关规定全面负责租赁房屋内的各项安全工作，对甲方正常的房屋检查和修缮给予协助。</w:t>
      </w:r>
    </w:p>
    <w:p w14:paraId="77573FA5">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7.2.9在租赁期内以及在租赁期满后乙方承租的房屋未正式交还给甲方前，因乙方原因导致第三人、其他有关单位或组织的人身、财产损害的，概由乙方自行承担相应的法律责任。</w:t>
      </w:r>
    </w:p>
    <w:p w14:paraId="012B7A65">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 xml:space="preserve">7.2.10 租赁期间，乙方应加强安全管理，房屋不能超过承重，电力不能超负荷，租赁房屋内发生的一切安全事故（包含但不限于火灾、盗窃等）由乙方自行负责，若给甲方造成经济损失，乙方还应当承担相应的经济赔偿责任。 </w:t>
      </w:r>
    </w:p>
    <w:p w14:paraId="4C2F963D">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b/>
          <w:color w:val="auto"/>
          <w:spacing w:val="-4"/>
          <w:sz w:val="22"/>
          <w:szCs w:val="22"/>
          <w:highlight w:val="none"/>
        </w:rPr>
      </w:pPr>
      <w:r>
        <w:rPr>
          <w:rFonts w:hint="eastAsia" w:ascii="方正仿宋_GBK" w:eastAsia="方正仿宋_GBK"/>
          <w:b/>
          <w:color w:val="auto"/>
          <w:spacing w:val="-4"/>
          <w:sz w:val="22"/>
          <w:szCs w:val="22"/>
          <w:highlight w:val="none"/>
        </w:rPr>
        <w:t>第八条  违约责任</w:t>
      </w:r>
    </w:p>
    <w:p w14:paraId="584E82D4">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_GB2312" w:eastAsia="方正仿宋_GBK"/>
          <w:color w:val="auto"/>
          <w:spacing w:val="-4"/>
          <w:sz w:val="22"/>
          <w:szCs w:val="22"/>
          <w:highlight w:val="none"/>
        </w:rPr>
      </w:pPr>
      <w:r>
        <w:rPr>
          <w:rFonts w:hint="eastAsia" w:ascii="方正仿宋_GBK" w:eastAsia="方正仿宋_GBK"/>
          <w:color w:val="auto"/>
          <w:spacing w:val="-4"/>
          <w:sz w:val="22"/>
          <w:szCs w:val="22"/>
          <w:highlight w:val="none"/>
        </w:rPr>
        <w:t>8.1 若乙方逾期支付或未足额支付房屋租金或其他应付费用，经甲方催告后仍不支付的，</w:t>
      </w:r>
      <w:r>
        <w:rPr>
          <w:rFonts w:hint="eastAsia" w:ascii="方正仿宋_GBK" w:hAnsi="仿宋_GB2312" w:eastAsia="方正仿宋_GBK"/>
          <w:color w:val="auto"/>
          <w:spacing w:val="-4"/>
          <w:sz w:val="22"/>
          <w:szCs w:val="22"/>
          <w:highlight w:val="none"/>
        </w:rPr>
        <w:t>甲方有权单方解除合同，收回房屋，要求乙方立即付清所有应付租金和相关费用，并有权以乙方未付租金和费用为基数，按照中国人民银行授权全国银行间同业拆借中心发布的一年期贷款市场报价利率的4倍，自乙方逾期支付之日起向乙方收取逾期付款利息，乙方还应按本合同约定租金标准赔偿甲方剩余租期对应的全部租金损失。</w:t>
      </w:r>
    </w:p>
    <w:p w14:paraId="187E4E9A">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8.2 在租赁期间，若乙方有违约行为，甲方有权将履约保证金进行扣除，且乙方需十日内补齐被扣除的履约保证金，否则，甲方有权单方解除本合同，</w:t>
      </w:r>
      <w:r>
        <w:rPr>
          <w:rFonts w:hint="eastAsia" w:ascii="方正仿宋_GBK" w:hAnsi="仿宋_GB2312" w:eastAsia="方正仿宋_GBK"/>
          <w:color w:val="auto"/>
          <w:spacing w:val="-4"/>
          <w:sz w:val="22"/>
          <w:szCs w:val="22"/>
          <w:highlight w:val="none"/>
        </w:rPr>
        <w:t>乙方还应按本合同约定租金标准赔偿甲方剩余租期对应的全部租金损失</w:t>
      </w:r>
      <w:r>
        <w:rPr>
          <w:rFonts w:hint="eastAsia" w:ascii="方正仿宋_GBK" w:eastAsia="方正仿宋_GBK"/>
          <w:color w:val="auto"/>
          <w:spacing w:val="-4"/>
          <w:sz w:val="22"/>
          <w:szCs w:val="22"/>
          <w:highlight w:val="none"/>
        </w:rPr>
        <w:t xml:space="preserve">。若违约金不足以弥补甲方损失的，乙方还应赔偿甲方的全部损失。 </w:t>
      </w:r>
    </w:p>
    <w:p w14:paraId="72168F03">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8.3乙方在租赁期间不依照合同约定合理使用租赁房屋，擅自变更租赁房屋用途、主体结构，擅自对租赁房屋转租、转让、转借或调换使用，利用租赁房屋进行违法活动，故意破坏毁损房屋及附属设施，如有本款任何一种情形存在，甲方有权解除本合同并向乙方扣除履约保证金作为违约金，违约金不足以弥补甲方损失的，乙方应赔偿甲方的全部损失。</w:t>
      </w:r>
    </w:p>
    <w:p w14:paraId="492C32E0">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8.4 如因一方违约，另一方因主张权利所产生的一切费用（包括但不限于案件受理费、保全费、担保相关费用、鉴定费及鉴定人员出庭费用、律师费、差旅费、执行费、评估费或评估人员出庭费用、拍卖（服务）费、税费、公告费、咨询费或咨询人员出庭费用、证人或有专门知识的人的出庭费用等未完全罗列的一切费用）均由违约方承担。</w:t>
      </w:r>
    </w:p>
    <w:p w14:paraId="28BB1416">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8.5乙方怠于向甲方支付违约金或赔偿损失的，甲方有权直接从履约保证金中予以扣除。</w:t>
      </w:r>
    </w:p>
    <w:p w14:paraId="15A459D8">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b/>
          <w:color w:val="auto"/>
          <w:spacing w:val="-4"/>
          <w:sz w:val="22"/>
          <w:szCs w:val="22"/>
          <w:highlight w:val="none"/>
        </w:rPr>
      </w:pPr>
      <w:r>
        <w:rPr>
          <w:rFonts w:hint="eastAsia" w:ascii="方正仿宋_GBK" w:eastAsia="方正仿宋_GBK"/>
          <w:b/>
          <w:color w:val="auto"/>
          <w:spacing w:val="-4"/>
          <w:sz w:val="22"/>
          <w:szCs w:val="22"/>
          <w:highlight w:val="none"/>
        </w:rPr>
        <w:t xml:space="preserve">第九条  合同的解除 </w:t>
      </w:r>
    </w:p>
    <w:p w14:paraId="42F1C89C">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 xml:space="preserve">9.1甲乙双方协商一致解除合同的，可签署解除合同协议书提前解除合同。 </w:t>
      </w:r>
    </w:p>
    <w:p w14:paraId="2CA75F97">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9.2乙方有本合同约定的违约行为的，甲方有权按本合同的约定解除合同并要求乙方承担相应的违约责任。</w:t>
      </w:r>
    </w:p>
    <w:p w14:paraId="0F1F202A">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 xml:space="preserve">9.3 有下列情形之一的，本合同终止，甲乙双方互不承担违约责任： </w:t>
      </w:r>
    </w:p>
    <w:p w14:paraId="50A4AE50">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（1）该房屋因社会公共利益或城市建设需要被依法征收、征用或因其他原因被列入房屋拆迁范围的。</w:t>
      </w:r>
    </w:p>
    <w:p w14:paraId="2191BFD0">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（2）因自然灾害等不可抗力致使房屋毁损、灭失或造成其他损失的。</w:t>
      </w:r>
    </w:p>
    <w:p w14:paraId="62746CF2">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（3）该房屋占用范围内土地使用权依法被提前收回的。</w:t>
      </w:r>
    </w:p>
    <w:p w14:paraId="7829D6BF">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（4）非甲方原因造成租赁房屋无法使用或存在安全隐患。</w:t>
      </w:r>
    </w:p>
    <w:p w14:paraId="69CC66C8">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9.4 甲方有下列情形之一的，乙方有权</w:t>
      </w:r>
      <w:r>
        <w:rPr>
          <w:rFonts w:hint="eastAsia" w:ascii="方正仿宋_GBK" w:hAnsi="仿宋_GB2312" w:eastAsia="方正仿宋_GBK"/>
          <w:color w:val="auto"/>
          <w:spacing w:val="-4"/>
          <w:sz w:val="22"/>
          <w:szCs w:val="22"/>
          <w:highlight w:val="none"/>
        </w:rPr>
        <w:t>单方</w:t>
      </w:r>
      <w:r>
        <w:rPr>
          <w:rFonts w:hint="eastAsia" w:ascii="方正仿宋_GBK" w:eastAsia="方正仿宋_GBK"/>
          <w:color w:val="auto"/>
          <w:spacing w:val="-4"/>
          <w:sz w:val="22"/>
          <w:szCs w:val="22"/>
          <w:highlight w:val="none"/>
        </w:rPr>
        <w:t xml:space="preserve">解除合同： </w:t>
      </w:r>
    </w:p>
    <w:p w14:paraId="1A764472">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（1）未按约定时间交付该房屋达30日的。</w:t>
      </w:r>
    </w:p>
    <w:p w14:paraId="25AC4471">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 xml:space="preserve">（2）交付的房屋不符合约定条件严重影响乙方使用的。 </w:t>
      </w:r>
    </w:p>
    <w:p w14:paraId="20A2F7AE">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（3）非乙方原因造成租赁房屋无法使用或存在安全隐患。</w:t>
      </w:r>
    </w:p>
    <w:p w14:paraId="21E75DFB">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9.5乙方有下列情形之一的，甲方有权</w:t>
      </w:r>
      <w:r>
        <w:rPr>
          <w:rFonts w:hint="eastAsia" w:ascii="方正仿宋_GBK" w:hAnsi="仿宋_GB2312" w:eastAsia="方正仿宋_GBK"/>
          <w:color w:val="auto"/>
          <w:spacing w:val="-4"/>
          <w:sz w:val="22"/>
          <w:szCs w:val="22"/>
          <w:highlight w:val="none"/>
        </w:rPr>
        <w:t>单方面</w:t>
      </w:r>
      <w:r>
        <w:rPr>
          <w:rFonts w:hint="eastAsia" w:ascii="方正仿宋_GBK" w:eastAsia="方正仿宋_GBK"/>
          <w:color w:val="auto"/>
          <w:spacing w:val="-4"/>
          <w:sz w:val="22"/>
          <w:szCs w:val="22"/>
          <w:highlight w:val="none"/>
        </w:rPr>
        <w:t xml:space="preserve">解除合同。解除通知送达对方之日为合同解除之日，乙方应在收到解除合同通知后3个工作日内无条件交还租赁房屋。若乙方逾期交还房屋，甲方有权自行收回出租房屋： </w:t>
      </w:r>
    </w:p>
    <w:p w14:paraId="1BE884E5">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 xml:space="preserve">（1）未经甲方书面同意，转租或变相转租、转借承租房屋。 </w:t>
      </w:r>
    </w:p>
    <w:p w14:paraId="736118FF">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（2）未经甲方书面同意，擅自装修、拆改</w:t>
      </w:r>
      <w:r>
        <w:rPr>
          <w:rFonts w:hint="eastAsia" w:ascii="方正仿宋_GBK" w:hAnsi="仿宋_GB2312" w:eastAsia="方正仿宋_GBK"/>
          <w:color w:val="auto"/>
          <w:spacing w:val="-4"/>
          <w:sz w:val="22"/>
          <w:szCs w:val="22"/>
          <w:highlight w:val="none"/>
        </w:rPr>
        <w:t>、</w:t>
      </w:r>
      <w:r>
        <w:rPr>
          <w:rFonts w:hint="eastAsia" w:ascii="方正仿宋_GBK" w:eastAsia="方正仿宋_GBK"/>
          <w:color w:val="auto"/>
          <w:spacing w:val="-4"/>
          <w:sz w:val="22"/>
          <w:szCs w:val="22"/>
          <w:highlight w:val="none"/>
        </w:rPr>
        <w:t xml:space="preserve">变动房屋结构。 </w:t>
      </w:r>
    </w:p>
    <w:p w14:paraId="459034C7">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 xml:space="preserve">（3）损坏承租房屋，在甲方提出的合理期限内仍未修复的。 </w:t>
      </w:r>
    </w:p>
    <w:p w14:paraId="61D24147">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 xml:space="preserve">（4）未经甲方书面同意，改变本合同约定的房屋租赁用途。 </w:t>
      </w:r>
    </w:p>
    <w:p w14:paraId="0BA66037">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（5）利用承租房屋存放危险物品或进行违法活动。</w:t>
      </w:r>
    </w:p>
    <w:p w14:paraId="6A83157C">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 xml:space="preserve">（6）逾期支付房屋租金及其他费用达30日的。 </w:t>
      </w:r>
    </w:p>
    <w:p w14:paraId="5D5CB5DF">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_GB2312" w:eastAsia="方正仿宋_GBK"/>
          <w:color w:val="auto"/>
          <w:spacing w:val="-4"/>
          <w:sz w:val="22"/>
          <w:szCs w:val="22"/>
          <w:highlight w:val="none"/>
        </w:rPr>
      </w:pPr>
      <w:r>
        <w:rPr>
          <w:rFonts w:hint="eastAsia" w:ascii="方正仿宋_GBK" w:hAnsi="仿宋_GB2312" w:eastAsia="方正仿宋_GBK"/>
          <w:color w:val="auto"/>
          <w:spacing w:val="-4"/>
          <w:sz w:val="22"/>
          <w:szCs w:val="22"/>
          <w:highlight w:val="none"/>
        </w:rPr>
        <w:t>（7）未按时足额交纳履约保证金的。</w:t>
      </w:r>
    </w:p>
    <w:p w14:paraId="7D6910E9">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（8）本合同约定的其他违约行为。</w:t>
      </w:r>
    </w:p>
    <w:p w14:paraId="0CB9955C">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 xml:space="preserve"> 9.6甲方需对出租房屋进行出售的，甲方有权解除租赁合同，退还乙方剩余未使用期限的租金，但甲方对乙方不承担任何违约责任或赔偿责任。</w:t>
      </w:r>
    </w:p>
    <w:p w14:paraId="35E7B5BA">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b/>
          <w:color w:val="auto"/>
          <w:spacing w:val="-4"/>
          <w:sz w:val="22"/>
          <w:szCs w:val="22"/>
          <w:highlight w:val="none"/>
        </w:rPr>
      </w:pPr>
      <w:r>
        <w:rPr>
          <w:rFonts w:hint="eastAsia" w:ascii="方正仿宋_GBK" w:eastAsia="方正仿宋_GBK"/>
          <w:b/>
          <w:color w:val="auto"/>
          <w:spacing w:val="-4"/>
          <w:sz w:val="22"/>
          <w:szCs w:val="22"/>
          <w:highlight w:val="none"/>
        </w:rPr>
        <w:t>第十条  争议的解决</w:t>
      </w:r>
    </w:p>
    <w:p w14:paraId="44590258">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甲乙双方在履行本合同的过程中若发生争议，首先由双方协商解决；协商不成的，双方均可依法向甲方</w:t>
      </w:r>
      <w:r>
        <w:rPr>
          <w:rFonts w:ascii="方正仿宋_GBK" w:eastAsia="方正仿宋_GBK"/>
          <w:color w:val="auto"/>
          <w:spacing w:val="-4"/>
          <w:sz w:val="22"/>
          <w:szCs w:val="22"/>
          <w:highlight w:val="none"/>
        </w:rPr>
        <w:t>所在地</w:t>
      </w:r>
      <w:r>
        <w:rPr>
          <w:rFonts w:hint="eastAsia" w:ascii="方正仿宋_GBK" w:eastAsia="方正仿宋_GBK"/>
          <w:color w:val="auto"/>
          <w:spacing w:val="-4"/>
          <w:sz w:val="22"/>
          <w:szCs w:val="22"/>
          <w:highlight w:val="none"/>
        </w:rPr>
        <w:t>有管辖权的人民法院起诉，所产生的费用，包括法院诉讼费、律师代理费及差旅费等均由违约方承担。</w:t>
      </w:r>
    </w:p>
    <w:p w14:paraId="01E30944">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eastAsia="方正仿宋_GBK"/>
          <w:b/>
          <w:bCs/>
          <w:color w:val="auto"/>
          <w:spacing w:val="-4"/>
          <w:sz w:val="22"/>
          <w:szCs w:val="22"/>
          <w:highlight w:val="none"/>
        </w:rPr>
      </w:pPr>
      <w:r>
        <w:rPr>
          <w:rFonts w:hint="eastAsia" w:ascii="方正仿宋_GBK" w:eastAsia="方正仿宋_GBK"/>
          <w:b/>
          <w:bCs/>
          <w:color w:val="auto"/>
          <w:spacing w:val="-4"/>
          <w:sz w:val="22"/>
          <w:szCs w:val="22"/>
          <w:highlight w:val="none"/>
        </w:rPr>
        <w:t>第十一条 通知</w:t>
      </w:r>
    </w:p>
    <w:p w14:paraId="6F5D27C5">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ascii="方正仿宋_GBK" w:eastAsia="方正仿宋_GBK"/>
          <w:color w:val="auto"/>
          <w:spacing w:val="-4"/>
          <w:sz w:val="22"/>
          <w:szCs w:val="22"/>
          <w:highlight w:val="none"/>
        </w:rPr>
      </w:pPr>
      <w:r>
        <w:rPr>
          <w:rFonts w:ascii="方正仿宋_GBK" w:eastAsia="方正仿宋_GBK"/>
          <w:color w:val="auto"/>
          <w:spacing w:val="-4"/>
          <w:sz w:val="22"/>
          <w:szCs w:val="22"/>
          <w:highlight w:val="none"/>
        </w:rPr>
        <w:t>合同双方就本合同中涉及</w:t>
      </w:r>
      <w:r>
        <w:rPr>
          <w:rFonts w:hint="eastAsia" w:ascii="方正仿宋_GBK" w:eastAsia="方正仿宋_GBK"/>
          <w:color w:val="auto"/>
          <w:spacing w:val="-4"/>
          <w:sz w:val="22"/>
          <w:szCs w:val="22"/>
          <w:highlight w:val="none"/>
        </w:rPr>
        <w:t>的</w:t>
      </w:r>
      <w:r>
        <w:rPr>
          <w:rFonts w:ascii="方正仿宋_GBK" w:eastAsia="方正仿宋_GBK"/>
          <w:color w:val="auto"/>
          <w:spacing w:val="-4"/>
          <w:sz w:val="22"/>
          <w:szCs w:val="22"/>
          <w:highlight w:val="none"/>
        </w:rPr>
        <w:t>各类通知、协议等文件以及相关诉讼法律文书送达时的送达地址作如下约定：</w:t>
      </w:r>
    </w:p>
    <w:p w14:paraId="22D4E0C6">
      <w:pPr>
        <w:pStyle w:val="3"/>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K" w:eastAsia="方正仿宋_GBK"/>
          <w:color w:val="auto"/>
          <w:spacing w:val="-4"/>
          <w:sz w:val="22"/>
          <w:szCs w:val="22"/>
          <w:highlight w:val="none"/>
        </w:rPr>
      </w:pPr>
      <w:r>
        <w:rPr>
          <w:rFonts w:ascii="方正仿宋_GBK" w:eastAsia="方正仿宋_GBK"/>
          <w:color w:val="auto"/>
          <w:spacing w:val="-4"/>
          <w:sz w:val="22"/>
          <w:szCs w:val="22"/>
          <w:highlight w:val="none"/>
        </w:rPr>
        <w:t>甲方的送达地址为</w:t>
      </w:r>
      <w:r>
        <w:rPr>
          <w:rFonts w:hint="eastAsia" w:ascii="方正仿宋_GBK" w:eastAsia="方正仿宋_GBK"/>
          <w:color w:val="auto"/>
          <w:spacing w:val="-4"/>
          <w:sz w:val="22"/>
          <w:szCs w:val="22"/>
          <w:highlight w:val="none"/>
        </w:rPr>
        <w:t>：</w:t>
      </w:r>
      <w:r>
        <w:rPr>
          <w:rFonts w:hint="eastAsia" w:ascii="方正仿宋_GBK" w:eastAsia="方正仿宋_GBK"/>
          <w:color w:val="auto"/>
          <w:spacing w:val="-4"/>
          <w:sz w:val="22"/>
          <w:szCs w:val="22"/>
          <w:highlight w:val="none"/>
          <w:u w:val="single"/>
          <w:lang w:val="en-US" w:eastAsia="zh-CN"/>
        </w:rPr>
        <w:t xml:space="preserve">                            </w:t>
      </w:r>
      <w:r>
        <w:rPr>
          <w:rFonts w:hint="eastAsia" w:ascii="方正仿宋_GBK" w:eastAsia="方正仿宋_GBK"/>
          <w:color w:val="auto"/>
          <w:spacing w:val="-4"/>
          <w:sz w:val="22"/>
          <w:szCs w:val="22"/>
          <w:highlight w:val="none"/>
        </w:rPr>
        <w:t>。</w:t>
      </w:r>
    </w:p>
    <w:p w14:paraId="21C00B6D">
      <w:pPr>
        <w:pStyle w:val="3"/>
        <w:keepNext w:val="0"/>
        <w:keepLines w:val="0"/>
        <w:pageBreakBefore w:val="0"/>
        <w:widowControl w:val="0"/>
        <w:kinsoku/>
        <w:wordWrap/>
        <w:overflowPunct/>
        <w:topLinePunct w:val="0"/>
        <w:autoSpaceDE/>
        <w:autoSpaceDN/>
        <w:bidi w:val="0"/>
        <w:adjustRightInd/>
        <w:snapToGrid/>
        <w:spacing w:line="480" w:lineRule="exact"/>
        <w:textAlignment w:val="auto"/>
        <w:rPr>
          <w:rFonts w:ascii="方正仿宋_GBK" w:eastAsia="方正仿宋_GBK"/>
          <w:color w:val="auto"/>
          <w:spacing w:val="-4"/>
          <w:sz w:val="22"/>
          <w:szCs w:val="22"/>
          <w:highlight w:val="none"/>
        </w:rPr>
      </w:pPr>
      <w:r>
        <w:rPr>
          <w:rFonts w:ascii="方正仿宋_GBK" w:eastAsia="方正仿宋_GBK"/>
          <w:color w:val="auto"/>
          <w:spacing w:val="-4"/>
          <w:sz w:val="22"/>
          <w:szCs w:val="22"/>
          <w:highlight w:val="none"/>
        </w:rPr>
        <w:t>收件人</w:t>
      </w:r>
      <w:r>
        <w:rPr>
          <w:rFonts w:hint="eastAsia" w:ascii="方正仿宋_GBK" w:eastAsia="方正仿宋_GBK"/>
          <w:color w:val="auto"/>
          <w:spacing w:val="-4"/>
          <w:sz w:val="22"/>
          <w:szCs w:val="22"/>
          <w:highlight w:val="none"/>
          <w:u w:val="single"/>
        </w:rPr>
        <w:t>：</w:t>
      </w:r>
      <w:r>
        <w:rPr>
          <w:rFonts w:hint="eastAsia" w:ascii="方正仿宋_GBK" w:eastAsia="方正仿宋_GBK"/>
          <w:color w:val="auto"/>
          <w:spacing w:val="-4"/>
          <w:sz w:val="22"/>
          <w:szCs w:val="22"/>
          <w:highlight w:val="none"/>
          <w:u w:val="single"/>
          <w:lang w:val="en-US" w:eastAsia="zh-CN"/>
        </w:rPr>
        <w:t xml:space="preserve">      </w:t>
      </w:r>
      <w:r>
        <w:rPr>
          <w:rFonts w:hint="eastAsia" w:ascii="方正仿宋_GBK" w:eastAsia="方正仿宋_GBK"/>
          <w:color w:val="auto"/>
          <w:spacing w:val="-4"/>
          <w:sz w:val="22"/>
          <w:szCs w:val="22"/>
          <w:highlight w:val="none"/>
          <w:u w:val="single"/>
        </w:rPr>
        <w:t xml:space="preserve">   </w:t>
      </w:r>
      <w:r>
        <w:rPr>
          <w:rFonts w:ascii="方正仿宋_GBK" w:eastAsia="方正仿宋_GBK"/>
          <w:color w:val="auto"/>
          <w:spacing w:val="-4"/>
          <w:sz w:val="22"/>
          <w:szCs w:val="22"/>
          <w:highlight w:val="none"/>
        </w:rPr>
        <w:t>联系电话</w:t>
      </w:r>
      <w:r>
        <w:rPr>
          <w:rFonts w:hint="eastAsia" w:ascii="方正仿宋_GBK" w:eastAsia="方正仿宋_GBK"/>
          <w:color w:val="auto"/>
          <w:spacing w:val="-4"/>
          <w:sz w:val="22"/>
          <w:szCs w:val="22"/>
          <w:highlight w:val="none"/>
          <w:u w:val="single"/>
        </w:rPr>
        <w:t xml:space="preserve">             </w:t>
      </w:r>
      <w:r>
        <w:rPr>
          <w:rFonts w:ascii="方正仿宋_GBK" w:eastAsia="方正仿宋_GBK"/>
          <w:color w:val="auto"/>
          <w:spacing w:val="-4"/>
          <w:sz w:val="22"/>
          <w:szCs w:val="22"/>
          <w:highlight w:val="none"/>
        </w:rPr>
        <w:t>。</w:t>
      </w:r>
    </w:p>
    <w:p w14:paraId="24297F2F">
      <w:pPr>
        <w:pStyle w:val="3"/>
        <w:keepNext w:val="0"/>
        <w:keepLines w:val="0"/>
        <w:pageBreakBefore w:val="0"/>
        <w:widowControl w:val="0"/>
        <w:kinsoku/>
        <w:wordWrap/>
        <w:overflowPunct/>
        <w:topLinePunct w:val="0"/>
        <w:autoSpaceDE/>
        <w:autoSpaceDN/>
        <w:bidi w:val="0"/>
        <w:adjustRightInd/>
        <w:snapToGrid/>
        <w:spacing w:line="480" w:lineRule="exact"/>
        <w:textAlignment w:val="auto"/>
        <w:rPr>
          <w:rFonts w:ascii="方正仿宋_GBK" w:eastAsia="方正仿宋_GBK"/>
          <w:color w:val="auto"/>
          <w:spacing w:val="-4"/>
          <w:sz w:val="22"/>
          <w:szCs w:val="22"/>
          <w:highlight w:val="none"/>
        </w:rPr>
      </w:pPr>
      <w:r>
        <w:rPr>
          <w:rFonts w:ascii="方正仿宋_GBK" w:eastAsia="方正仿宋_GBK"/>
          <w:color w:val="auto"/>
          <w:spacing w:val="-4"/>
          <w:sz w:val="22"/>
          <w:szCs w:val="22"/>
          <w:highlight w:val="none"/>
        </w:rPr>
        <w:t>乙方的送达地址为</w:t>
      </w:r>
      <w:r>
        <w:rPr>
          <w:rFonts w:hint="eastAsia" w:ascii="方正仿宋_GBK" w:eastAsia="方正仿宋_GBK"/>
          <w:color w:val="auto"/>
          <w:spacing w:val="-4"/>
          <w:sz w:val="22"/>
          <w:szCs w:val="22"/>
          <w:highlight w:val="none"/>
        </w:rPr>
        <w:t>：</w:t>
      </w:r>
      <w:r>
        <w:rPr>
          <w:rFonts w:hint="eastAsia" w:ascii="方正仿宋_GBK" w:eastAsia="方正仿宋_GBK"/>
          <w:color w:val="auto"/>
          <w:spacing w:val="-4"/>
          <w:sz w:val="22"/>
          <w:szCs w:val="22"/>
          <w:highlight w:val="none"/>
          <w:u w:val="single"/>
        </w:rPr>
        <w:t xml:space="preserve">                                 </w:t>
      </w:r>
      <w:r>
        <w:rPr>
          <w:rFonts w:hint="eastAsia" w:ascii="方正仿宋_GBK" w:eastAsia="方正仿宋_GBK"/>
          <w:color w:val="auto"/>
          <w:spacing w:val="-4"/>
          <w:sz w:val="22"/>
          <w:szCs w:val="22"/>
          <w:highlight w:val="none"/>
        </w:rPr>
        <w:t>。</w:t>
      </w:r>
    </w:p>
    <w:p w14:paraId="58340CA3">
      <w:pPr>
        <w:pStyle w:val="3"/>
        <w:keepNext w:val="0"/>
        <w:keepLines w:val="0"/>
        <w:pageBreakBefore w:val="0"/>
        <w:widowControl w:val="0"/>
        <w:kinsoku/>
        <w:wordWrap/>
        <w:overflowPunct/>
        <w:topLinePunct w:val="0"/>
        <w:autoSpaceDE/>
        <w:autoSpaceDN/>
        <w:bidi w:val="0"/>
        <w:adjustRightInd/>
        <w:snapToGrid/>
        <w:spacing w:line="480" w:lineRule="exact"/>
        <w:textAlignment w:val="auto"/>
        <w:rPr>
          <w:rFonts w:ascii="方正仿宋_GBK" w:eastAsia="方正仿宋_GBK"/>
          <w:color w:val="auto"/>
          <w:spacing w:val="-4"/>
          <w:sz w:val="22"/>
          <w:szCs w:val="22"/>
          <w:highlight w:val="none"/>
        </w:rPr>
      </w:pPr>
      <w:r>
        <w:rPr>
          <w:rFonts w:ascii="方正仿宋_GBK" w:eastAsia="方正仿宋_GBK"/>
          <w:color w:val="auto"/>
          <w:spacing w:val="-4"/>
          <w:sz w:val="22"/>
          <w:szCs w:val="22"/>
          <w:highlight w:val="none"/>
        </w:rPr>
        <w:t>收件人</w:t>
      </w:r>
      <w:r>
        <w:rPr>
          <w:rFonts w:hint="eastAsia" w:ascii="方正仿宋_GBK" w:eastAsia="方正仿宋_GBK"/>
          <w:color w:val="auto"/>
          <w:spacing w:val="-4"/>
          <w:sz w:val="22"/>
          <w:szCs w:val="22"/>
          <w:highlight w:val="none"/>
        </w:rPr>
        <w:t>：</w:t>
      </w:r>
      <w:r>
        <w:rPr>
          <w:rFonts w:hint="eastAsia" w:ascii="方正仿宋_GBK" w:eastAsia="方正仿宋_GBK"/>
          <w:color w:val="auto"/>
          <w:spacing w:val="-4"/>
          <w:sz w:val="22"/>
          <w:szCs w:val="22"/>
          <w:highlight w:val="none"/>
          <w:u w:val="single"/>
        </w:rPr>
        <w:t xml:space="preserve">     </w:t>
      </w:r>
      <w:r>
        <w:rPr>
          <w:rFonts w:hint="eastAsia" w:ascii="方正仿宋_GBK" w:eastAsia="方正仿宋_GBK"/>
          <w:color w:val="auto"/>
          <w:spacing w:val="-4"/>
          <w:sz w:val="22"/>
          <w:szCs w:val="22"/>
          <w:highlight w:val="none"/>
          <w:u w:val="single"/>
          <w:lang w:val="en-US" w:eastAsia="zh-CN"/>
        </w:rPr>
        <w:t xml:space="preserve">   </w:t>
      </w:r>
      <w:r>
        <w:rPr>
          <w:rFonts w:hint="eastAsia" w:ascii="方正仿宋_GBK" w:eastAsia="方正仿宋_GBK"/>
          <w:color w:val="auto"/>
          <w:spacing w:val="-4"/>
          <w:sz w:val="22"/>
          <w:szCs w:val="22"/>
          <w:highlight w:val="none"/>
          <w:u w:val="single"/>
        </w:rPr>
        <w:t xml:space="preserve">  </w:t>
      </w:r>
      <w:r>
        <w:rPr>
          <w:rFonts w:ascii="方正仿宋_GBK" w:eastAsia="方正仿宋_GBK"/>
          <w:color w:val="auto"/>
          <w:spacing w:val="-4"/>
          <w:sz w:val="22"/>
          <w:szCs w:val="22"/>
          <w:highlight w:val="none"/>
        </w:rPr>
        <w:t>联系电话</w:t>
      </w:r>
      <w:r>
        <w:rPr>
          <w:rFonts w:hint="eastAsia" w:ascii="方正仿宋_GBK" w:eastAsia="方正仿宋_GBK"/>
          <w:color w:val="auto"/>
          <w:spacing w:val="-4"/>
          <w:sz w:val="22"/>
          <w:szCs w:val="22"/>
          <w:highlight w:val="none"/>
          <w:lang w:eastAsia="zh-CN"/>
        </w:rPr>
        <w:t>：</w:t>
      </w:r>
      <w:r>
        <w:rPr>
          <w:rFonts w:hint="eastAsia" w:ascii="方正仿宋_GBK" w:eastAsia="方正仿宋_GBK"/>
          <w:color w:val="auto"/>
          <w:spacing w:val="-4"/>
          <w:sz w:val="22"/>
          <w:szCs w:val="22"/>
          <w:highlight w:val="none"/>
          <w:u w:val="single"/>
          <w:lang w:val="en-US" w:eastAsia="zh-CN"/>
        </w:rPr>
        <w:t xml:space="preserve">             </w:t>
      </w:r>
      <w:r>
        <w:rPr>
          <w:rFonts w:hint="eastAsia" w:ascii="方正仿宋_GBK" w:eastAsia="方正仿宋_GBK"/>
          <w:color w:val="auto"/>
          <w:spacing w:val="-4"/>
          <w:sz w:val="22"/>
          <w:szCs w:val="22"/>
          <w:highlight w:val="none"/>
        </w:rPr>
        <w:t xml:space="preserve"> </w:t>
      </w:r>
      <w:r>
        <w:rPr>
          <w:rFonts w:ascii="方正仿宋_GBK" w:eastAsia="方正仿宋_GBK"/>
          <w:color w:val="auto"/>
          <w:spacing w:val="-4"/>
          <w:sz w:val="22"/>
          <w:szCs w:val="22"/>
          <w:highlight w:val="none"/>
        </w:rPr>
        <w:t>。</w:t>
      </w:r>
    </w:p>
    <w:p w14:paraId="095E3644">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ascii="方正仿宋_GBK" w:eastAsia="方正仿宋_GBK"/>
          <w:color w:val="auto"/>
          <w:spacing w:val="-4"/>
          <w:sz w:val="22"/>
          <w:szCs w:val="22"/>
          <w:highlight w:val="none"/>
        </w:rPr>
      </w:pPr>
      <w:r>
        <w:rPr>
          <w:rFonts w:ascii="方正仿宋_GBK" w:eastAsia="方正仿宋_GBK"/>
          <w:color w:val="auto"/>
          <w:spacing w:val="-4"/>
          <w:sz w:val="22"/>
          <w:szCs w:val="22"/>
          <w:highlight w:val="none"/>
        </w:rPr>
        <w:t>双方上述的送达地址适用范围包括双方非诉时各类通知(含催收通知书和律师催收函)、协议等文件以及就合同发生纠纷时相关文件和法律诉讼文书的送达，同时包括在争议进入仲裁、民事诉讼程序后的一审、二审、再审和执行程序</w:t>
      </w:r>
      <w:r>
        <w:rPr>
          <w:rFonts w:hint="eastAsia" w:ascii="方正仿宋_GBK" w:eastAsia="方正仿宋_GBK"/>
          <w:color w:val="auto"/>
          <w:spacing w:val="-4"/>
          <w:sz w:val="22"/>
          <w:szCs w:val="22"/>
          <w:highlight w:val="none"/>
        </w:rPr>
        <w:t>中各类法律文书的送达</w:t>
      </w:r>
      <w:r>
        <w:rPr>
          <w:rFonts w:ascii="方正仿宋_GBK" w:eastAsia="方正仿宋_GBK"/>
          <w:color w:val="auto"/>
          <w:spacing w:val="-4"/>
          <w:sz w:val="22"/>
          <w:szCs w:val="22"/>
          <w:highlight w:val="none"/>
        </w:rPr>
        <w:t>，并承担未按送达文书要求实施诉讼行为时的法律后果。</w:t>
      </w:r>
    </w:p>
    <w:p w14:paraId="36D999A3">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ascii="方正仿宋_GBK" w:eastAsia="方正仿宋_GBK"/>
          <w:color w:val="auto"/>
          <w:spacing w:val="-4"/>
          <w:sz w:val="22"/>
          <w:szCs w:val="22"/>
          <w:highlight w:val="none"/>
        </w:rPr>
      </w:pPr>
      <w:r>
        <w:rPr>
          <w:rFonts w:ascii="方正仿宋_GBK" w:eastAsia="方正仿宋_GBK"/>
          <w:color w:val="auto"/>
          <w:spacing w:val="-4"/>
          <w:sz w:val="22"/>
          <w:szCs w:val="22"/>
          <w:highlight w:val="none"/>
        </w:rPr>
        <w:t>送达地址需要变更时应当履行书面通知义务。诉讼前应书面向合同相对方通知;在仲裁及民事诉讼程序时应书面向仲裁机构、法院通知。</w:t>
      </w:r>
    </w:p>
    <w:p w14:paraId="596C8FA3">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b/>
          <w:color w:val="auto"/>
          <w:spacing w:val="-4"/>
          <w:sz w:val="22"/>
          <w:szCs w:val="22"/>
          <w:highlight w:val="none"/>
        </w:rPr>
      </w:pPr>
      <w:r>
        <w:rPr>
          <w:rFonts w:hint="eastAsia" w:ascii="方正仿宋_GBK" w:hAnsi="仿宋" w:eastAsia="方正仿宋_GBK" w:cs="仿宋"/>
          <w:b/>
          <w:color w:val="auto"/>
          <w:spacing w:val="-4"/>
          <w:sz w:val="22"/>
          <w:szCs w:val="22"/>
          <w:highlight w:val="none"/>
        </w:rPr>
        <w:t>第十二条  生效</w:t>
      </w:r>
    </w:p>
    <w:p w14:paraId="75F835EB">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11.1 本合同经甲、乙双方加盖公章后生效。本合同一式贰份，甲、乙双方各执壹份。</w:t>
      </w:r>
    </w:p>
    <w:p w14:paraId="409B1617">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11.2本合同未尽事宜，双方可另行签订补充合同。</w:t>
      </w:r>
    </w:p>
    <w:p w14:paraId="71120616">
      <w:pPr>
        <w:pStyle w:val="3"/>
        <w:keepNext w:val="0"/>
        <w:keepLines w:val="0"/>
        <w:pageBreakBefore w:val="0"/>
        <w:widowControl w:val="0"/>
        <w:kinsoku/>
        <w:wordWrap/>
        <w:overflowPunct/>
        <w:topLinePunct w:val="0"/>
        <w:autoSpaceDE/>
        <w:autoSpaceDN/>
        <w:bidi w:val="0"/>
        <w:adjustRightInd/>
        <w:snapToGrid/>
        <w:spacing w:line="480" w:lineRule="exact"/>
        <w:ind w:firstLine="424" w:firstLineChars="200"/>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本合同以书面打印的内容为有效文本，协议中除了签字盖章部分外，正文中的任何手改、删减、涂改的部分均为无效，仍以原打印文字为准。</w:t>
      </w:r>
    </w:p>
    <w:p w14:paraId="55764E30">
      <w:pPr>
        <w:pStyle w:val="3"/>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K" w:hAnsi="仿宋" w:eastAsia="方正仿宋_GBK" w:cs="仿宋"/>
          <w:color w:val="auto"/>
          <w:spacing w:val="-4"/>
          <w:sz w:val="22"/>
          <w:szCs w:val="22"/>
          <w:highlight w:val="none"/>
        </w:rPr>
      </w:pPr>
      <w:r>
        <w:rPr>
          <w:rFonts w:hint="eastAsia" w:ascii="方正仿宋_GBK" w:hAnsi="仿宋" w:eastAsia="方正仿宋_GBK" w:cs="仿宋"/>
          <w:color w:val="auto"/>
          <w:spacing w:val="-4"/>
          <w:sz w:val="22"/>
          <w:szCs w:val="22"/>
          <w:highlight w:val="none"/>
        </w:rPr>
        <w:t>（以下无正文）</w:t>
      </w:r>
    </w:p>
    <w:p w14:paraId="6415BF72">
      <w:pPr>
        <w:pStyle w:val="3"/>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K" w:hAnsi="仿宋" w:eastAsia="方正仿宋_GBK" w:cs="仿宋"/>
          <w:color w:val="auto"/>
          <w:spacing w:val="-4"/>
          <w:sz w:val="22"/>
          <w:szCs w:val="22"/>
          <w:highlight w:val="none"/>
        </w:rPr>
      </w:pPr>
    </w:p>
    <w:p w14:paraId="4B7CABDB">
      <w:pPr>
        <w:pStyle w:val="3"/>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K" w:hAnsi="仿宋" w:eastAsia="方正仿宋_GBK" w:cs="仿宋"/>
          <w:color w:val="auto"/>
          <w:spacing w:val="-4"/>
          <w:sz w:val="22"/>
          <w:szCs w:val="22"/>
          <w:highlight w:val="none"/>
        </w:rPr>
      </w:pPr>
    </w:p>
    <w:tbl>
      <w:tblPr>
        <w:tblStyle w:val="5"/>
        <w:tblW w:w="8661" w:type="dxa"/>
        <w:jc w:val="center"/>
        <w:tblLayout w:type="fixed"/>
        <w:tblCellMar>
          <w:top w:w="0" w:type="dxa"/>
          <w:left w:w="108" w:type="dxa"/>
          <w:bottom w:w="0" w:type="dxa"/>
          <w:right w:w="108" w:type="dxa"/>
        </w:tblCellMar>
      </w:tblPr>
      <w:tblGrid>
        <w:gridCol w:w="1642"/>
        <w:gridCol w:w="2880"/>
        <w:gridCol w:w="1800"/>
        <w:gridCol w:w="2339"/>
      </w:tblGrid>
      <w:tr w14:paraId="6299290A">
        <w:tblPrEx>
          <w:tblCellMar>
            <w:top w:w="0" w:type="dxa"/>
            <w:left w:w="108" w:type="dxa"/>
            <w:bottom w:w="0" w:type="dxa"/>
            <w:right w:w="108" w:type="dxa"/>
          </w:tblCellMar>
        </w:tblPrEx>
        <w:trPr>
          <w:trHeight w:val="1140" w:hRule="atLeast"/>
          <w:jc w:val="center"/>
        </w:trPr>
        <w:tc>
          <w:tcPr>
            <w:tcW w:w="1642" w:type="dxa"/>
            <w:noWrap w:val="0"/>
            <w:vAlign w:val="center"/>
          </w:tcPr>
          <w:p w14:paraId="70EE7B94">
            <w:pPr>
              <w:pStyle w:val="3"/>
              <w:keepNext w:val="0"/>
              <w:keepLines w:val="0"/>
              <w:pageBreakBefore w:val="0"/>
              <w:widowControl w:val="0"/>
              <w:kinsoku/>
              <w:wordWrap/>
              <w:overflowPunct/>
              <w:topLinePunct w:val="0"/>
              <w:autoSpaceDE/>
              <w:autoSpaceDN/>
              <w:bidi w:val="0"/>
              <w:adjustRightInd/>
              <w:snapToGrid/>
              <w:spacing w:line="480" w:lineRule="exact"/>
              <w:jc w:val="distribute"/>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甲方：</w:t>
            </w:r>
          </w:p>
        </w:tc>
        <w:tc>
          <w:tcPr>
            <w:tcW w:w="2880" w:type="dxa"/>
            <w:noWrap w:val="0"/>
            <w:vAlign w:val="center"/>
          </w:tcPr>
          <w:p w14:paraId="61CEBD77">
            <w:pPr>
              <w:pStyle w:val="3"/>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 xml:space="preserve"> </w:t>
            </w:r>
          </w:p>
        </w:tc>
        <w:tc>
          <w:tcPr>
            <w:tcW w:w="1800" w:type="dxa"/>
            <w:noWrap w:val="0"/>
            <w:vAlign w:val="center"/>
          </w:tcPr>
          <w:p w14:paraId="7685557B">
            <w:pPr>
              <w:pStyle w:val="3"/>
              <w:keepNext w:val="0"/>
              <w:keepLines w:val="0"/>
              <w:pageBreakBefore w:val="0"/>
              <w:widowControl w:val="0"/>
              <w:kinsoku/>
              <w:wordWrap/>
              <w:overflowPunct/>
              <w:topLinePunct w:val="0"/>
              <w:autoSpaceDE/>
              <w:autoSpaceDN/>
              <w:bidi w:val="0"/>
              <w:adjustRightInd/>
              <w:snapToGrid/>
              <w:spacing w:line="480" w:lineRule="exact"/>
              <w:jc w:val="distribute"/>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乙方：</w:t>
            </w:r>
          </w:p>
        </w:tc>
        <w:tc>
          <w:tcPr>
            <w:tcW w:w="2339" w:type="dxa"/>
            <w:noWrap w:val="0"/>
            <w:vAlign w:val="center"/>
          </w:tcPr>
          <w:p w14:paraId="741F0CCA">
            <w:pPr>
              <w:pStyle w:val="3"/>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K" w:eastAsia="方正仿宋_GBK"/>
                <w:color w:val="auto"/>
                <w:spacing w:val="-4"/>
                <w:sz w:val="22"/>
                <w:szCs w:val="22"/>
                <w:highlight w:val="none"/>
              </w:rPr>
            </w:pPr>
          </w:p>
        </w:tc>
      </w:tr>
      <w:tr w14:paraId="6CDF069B">
        <w:tblPrEx>
          <w:tblCellMar>
            <w:top w:w="0" w:type="dxa"/>
            <w:left w:w="108" w:type="dxa"/>
            <w:bottom w:w="0" w:type="dxa"/>
            <w:right w:w="108" w:type="dxa"/>
          </w:tblCellMar>
        </w:tblPrEx>
        <w:trPr>
          <w:trHeight w:val="848" w:hRule="atLeast"/>
          <w:jc w:val="center"/>
        </w:trPr>
        <w:tc>
          <w:tcPr>
            <w:tcW w:w="1642" w:type="dxa"/>
            <w:noWrap w:val="0"/>
            <w:vAlign w:val="center"/>
          </w:tcPr>
          <w:p w14:paraId="0B37433A">
            <w:pPr>
              <w:pStyle w:val="3"/>
              <w:keepNext w:val="0"/>
              <w:keepLines w:val="0"/>
              <w:pageBreakBefore w:val="0"/>
              <w:widowControl w:val="0"/>
              <w:kinsoku/>
              <w:wordWrap/>
              <w:overflowPunct/>
              <w:topLinePunct w:val="0"/>
              <w:autoSpaceDE/>
              <w:autoSpaceDN/>
              <w:bidi w:val="0"/>
              <w:adjustRightInd/>
              <w:snapToGrid/>
              <w:spacing w:line="480" w:lineRule="exact"/>
              <w:jc w:val="distribute"/>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经办人：</w:t>
            </w:r>
          </w:p>
        </w:tc>
        <w:tc>
          <w:tcPr>
            <w:tcW w:w="2880" w:type="dxa"/>
            <w:noWrap w:val="0"/>
            <w:vAlign w:val="center"/>
          </w:tcPr>
          <w:p w14:paraId="24345086">
            <w:pPr>
              <w:pStyle w:val="3"/>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K" w:eastAsia="方正仿宋_GBK"/>
                <w:color w:val="auto"/>
                <w:spacing w:val="-4"/>
                <w:sz w:val="22"/>
                <w:szCs w:val="22"/>
                <w:highlight w:val="none"/>
              </w:rPr>
            </w:pPr>
          </w:p>
        </w:tc>
        <w:tc>
          <w:tcPr>
            <w:tcW w:w="1800" w:type="dxa"/>
            <w:noWrap w:val="0"/>
            <w:vAlign w:val="center"/>
          </w:tcPr>
          <w:p w14:paraId="6A2FCBA0">
            <w:pPr>
              <w:pStyle w:val="3"/>
              <w:keepNext w:val="0"/>
              <w:keepLines w:val="0"/>
              <w:pageBreakBefore w:val="0"/>
              <w:widowControl w:val="0"/>
              <w:kinsoku/>
              <w:wordWrap/>
              <w:overflowPunct/>
              <w:topLinePunct w:val="0"/>
              <w:autoSpaceDE/>
              <w:autoSpaceDN/>
              <w:bidi w:val="0"/>
              <w:adjustRightInd/>
              <w:snapToGrid/>
              <w:spacing w:line="480" w:lineRule="exact"/>
              <w:jc w:val="distribute"/>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经办人：</w:t>
            </w:r>
          </w:p>
        </w:tc>
        <w:tc>
          <w:tcPr>
            <w:tcW w:w="2339" w:type="dxa"/>
            <w:noWrap w:val="0"/>
            <w:vAlign w:val="center"/>
          </w:tcPr>
          <w:p w14:paraId="33376ADA">
            <w:pPr>
              <w:pStyle w:val="3"/>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K" w:eastAsia="方正仿宋_GBK"/>
                <w:color w:val="auto"/>
                <w:spacing w:val="-4"/>
                <w:sz w:val="22"/>
                <w:szCs w:val="22"/>
                <w:highlight w:val="none"/>
              </w:rPr>
            </w:pPr>
          </w:p>
        </w:tc>
      </w:tr>
      <w:tr w14:paraId="5B62E43C">
        <w:tblPrEx>
          <w:tblCellMar>
            <w:top w:w="0" w:type="dxa"/>
            <w:left w:w="108" w:type="dxa"/>
            <w:bottom w:w="0" w:type="dxa"/>
            <w:right w:w="108" w:type="dxa"/>
          </w:tblCellMar>
        </w:tblPrEx>
        <w:trPr>
          <w:trHeight w:val="848" w:hRule="atLeast"/>
          <w:jc w:val="center"/>
        </w:trPr>
        <w:tc>
          <w:tcPr>
            <w:tcW w:w="1642" w:type="dxa"/>
            <w:noWrap w:val="0"/>
            <w:vAlign w:val="center"/>
          </w:tcPr>
          <w:p w14:paraId="1B2C829B">
            <w:pPr>
              <w:pStyle w:val="3"/>
              <w:keepNext w:val="0"/>
              <w:keepLines w:val="0"/>
              <w:pageBreakBefore w:val="0"/>
              <w:widowControl w:val="0"/>
              <w:kinsoku/>
              <w:wordWrap/>
              <w:overflowPunct/>
              <w:topLinePunct w:val="0"/>
              <w:autoSpaceDE/>
              <w:autoSpaceDN/>
              <w:bidi w:val="0"/>
              <w:adjustRightInd/>
              <w:snapToGrid/>
              <w:spacing w:line="480" w:lineRule="exact"/>
              <w:jc w:val="distribute"/>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地址：</w:t>
            </w:r>
          </w:p>
        </w:tc>
        <w:tc>
          <w:tcPr>
            <w:tcW w:w="2880" w:type="dxa"/>
            <w:noWrap w:val="0"/>
            <w:vAlign w:val="center"/>
          </w:tcPr>
          <w:p w14:paraId="5A43F41D">
            <w:pPr>
              <w:pStyle w:val="3"/>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K" w:eastAsia="方正仿宋_GBK"/>
                <w:color w:val="auto"/>
                <w:spacing w:val="-4"/>
                <w:sz w:val="22"/>
                <w:szCs w:val="22"/>
                <w:highlight w:val="none"/>
              </w:rPr>
            </w:pPr>
          </w:p>
        </w:tc>
        <w:tc>
          <w:tcPr>
            <w:tcW w:w="1800" w:type="dxa"/>
            <w:noWrap w:val="0"/>
            <w:vAlign w:val="center"/>
          </w:tcPr>
          <w:p w14:paraId="25B2FEEA">
            <w:pPr>
              <w:pStyle w:val="3"/>
              <w:keepNext w:val="0"/>
              <w:keepLines w:val="0"/>
              <w:pageBreakBefore w:val="0"/>
              <w:widowControl w:val="0"/>
              <w:kinsoku/>
              <w:wordWrap/>
              <w:overflowPunct/>
              <w:topLinePunct w:val="0"/>
              <w:autoSpaceDE/>
              <w:autoSpaceDN/>
              <w:bidi w:val="0"/>
              <w:adjustRightInd/>
              <w:snapToGrid/>
              <w:spacing w:line="480" w:lineRule="exact"/>
              <w:jc w:val="distribute"/>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地址：</w:t>
            </w:r>
          </w:p>
        </w:tc>
        <w:tc>
          <w:tcPr>
            <w:tcW w:w="2339" w:type="dxa"/>
            <w:noWrap w:val="0"/>
            <w:vAlign w:val="center"/>
          </w:tcPr>
          <w:p w14:paraId="14AEFCC8">
            <w:pPr>
              <w:pStyle w:val="3"/>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K" w:eastAsia="方正仿宋_GBK"/>
                <w:color w:val="auto"/>
                <w:spacing w:val="-4"/>
                <w:sz w:val="22"/>
                <w:szCs w:val="22"/>
                <w:highlight w:val="none"/>
              </w:rPr>
            </w:pPr>
          </w:p>
        </w:tc>
      </w:tr>
      <w:tr w14:paraId="1D19A6F9">
        <w:tblPrEx>
          <w:tblCellMar>
            <w:top w:w="0" w:type="dxa"/>
            <w:left w:w="108" w:type="dxa"/>
            <w:bottom w:w="0" w:type="dxa"/>
            <w:right w:w="108" w:type="dxa"/>
          </w:tblCellMar>
        </w:tblPrEx>
        <w:trPr>
          <w:trHeight w:val="859" w:hRule="atLeast"/>
          <w:jc w:val="center"/>
        </w:trPr>
        <w:tc>
          <w:tcPr>
            <w:tcW w:w="1642" w:type="dxa"/>
            <w:noWrap w:val="0"/>
            <w:vAlign w:val="center"/>
          </w:tcPr>
          <w:p w14:paraId="717B3F0C">
            <w:pPr>
              <w:pStyle w:val="3"/>
              <w:keepNext w:val="0"/>
              <w:keepLines w:val="0"/>
              <w:pageBreakBefore w:val="0"/>
              <w:widowControl w:val="0"/>
              <w:kinsoku/>
              <w:wordWrap/>
              <w:overflowPunct/>
              <w:topLinePunct w:val="0"/>
              <w:autoSpaceDE/>
              <w:autoSpaceDN/>
              <w:bidi w:val="0"/>
              <w:adjustRightInd/>
              <w:snapToGrid/>
              <w:spacing w:line="480" w:lineRule="exact"/>
              <w:jc w:val="distribute"/>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联系电话：</w:t>
            </w:r>
          </w:p>
        </w:tc>
        <w:tc>
          <w:tcPr>
            <w:tcW w:w="2880" w:type="dxa"/>
            <w:noWrap w:val="0"/>
            <w:vAlign w:val="center"/>
          </w:tcPr>
          <w:p w14:paraId="5B9E85D6">
            <w:pPr>
              <w:pStyle w:val="3"/>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 xml:space="preserve"> </w:t>
            </w:r>
          </w:p>
        </w:tc>
        <w:tc>
          <w:tcPr>
            <w:tcW w:w="1800" w:type="dxa"/>
            <w:noWrap w:val="0"/>
            <w:vAlign w:val="center"/>
          </w:tcPr>
          <w:p w14:paraId="4AF5854A">
            <w:pPr>
              <w:pStyle w:val="3"/>
              <w:keepNext w:val="0"/>
              <w:keepLines w:val="0"/>
              <w:pageBreakBefore w:val="0"/>
              <w:widowControl w:val="0"/>
              <w:kinsoku/>
              <w:wordWrap/>
              <w:overflowPunct/>
              <w:topLinePunct w:val="0"/>
              <w:autoSpaceDE/>
              <w:autoSpaceDN/>
              <w:bidi w:val="0"/>
              <w:adjustRightInd/>
              <w:snapToGrid/>
              <w:spacing w:line="480" w:lineRule="exact"/>
              <w:jc w:val="distribute"/>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联系电话：</w:t>
            </w:r>
          </w:p>
        </w:tc>
        <w:tc>
          <w:tcPr>
            <w:tcW w:w="2339" w:type="dxa"/>
            <w:noWrap w:val="0"/>
            <w:vAlign w:val="center"/>
          </w:tcPr>
          <w:p w14:paraId="2D634894">
            <w:pPr>
              <w:pStyle w:val="3"/>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K" w:eastAsia="方正仿宋_GBK"/>
                <w:color w:val="auto"/>
                <w:spacing w:val="-4"/>
                <w:sz w:val="22"/>
                <w:szCs w:val="22"/>
                <w:highlight w:val="none"/>
              </w:rPr>
            </w:pPr>
          </w:p>
        </w:tc>
      </w:tr>
      <w:tr w14:paraId="11BAE088">
        <w:tblPrEx>
          <w:tblCellMar>
            <w:top w:w="0" w:type="dxa"/>
            <w:left w:w="108" w:type="dxa"/>
            <w:bottom w:w="0" w:type="dxa"/>
            <w:right w:w="108" w:type="dxa"/>
          </w:tblCellMar>
        </w:tblPrEx>
        <w:trPr>
          <w:trHeight w:val="1140" w:hRule="atLeast"/>
          <w:jc w:val="center"/>
        </w:trPr>
        <w:tc>
          <w:tcPr>
            <w:tcW w:w="8661" w:type="dxa"/>
            <w:gridSpan w:val="4"/>
            <w:noWrap w:val="0"/>
            <w:vAlign w:val="center"/>
          </w:tcPr>
          <w:p w14:paraId="7C4D30BD">
            <w:pPr>
              <w:pStyle w:val="3"/>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仿宋_GBK" w:eastAsia="方正仿宋_GBK"/>
                <w:color w:val="auto"/>
                <w:spacing w:val="-4"/>
                <w:sz w:val="22"/>
                <w:szCs w:val="22"/>
                <w:highlight w:val="none"/>
              </w:rPr>
            </w:pPr>
            <w:r>
              <w:rPr>
                <w:rFonts w:hint="eastAsia" w:ascii="方正仿宋_GBK" w:eastAsia="方正仿宋_GBK"/>
                <w:color w:val="auto"/>
                <w:spacing w:val="-4"/>
                <w:sz w:val="22"/>
                <w:szCs w:val="22"/>
                <w:highlight w:val="none"/>
              </w:rPr>
              <w:t xml:space="preserve">时间： </w:t>
            </w:r>
            <w:r>
              <w:rPr>
                <w:rFonts w:hint="eastAsia" w:ascii="方正仿宋_GBK" w:eastAsia="方正仿宋_GBK"/>
                <w:color w:val="auto"/>
                <w:spacing w:val="-4"/>
                <w:sz w:val="22"/>
                <w:szCs w:val="22"/>
                <w:highlight w:val="none"/>
                <w:lang w:val="en-US" w:eastAsia="zh-CN"/>
              </w:rPr>
              <w:t xml:space="preserve">    </w:t>
            </w:r>
            <w:r>
              <w:rPr>
                <w:rFonts w:hint="eastAsia" w:ascii="方正仿宋_GBK" w:eastAsia="方正仿宋_GBK"/>
                <w:color w:val="auto"/>
                <w:spacing w:val="-4"/>
                <w:sz w:val="22"/>
                <w:szCs w:val="22"/>
                <w:highlight w:val="none"/>
              </w:rPr>
              <w:t xml:space="preserve">年 </w:t>
            </w:r>
            <w:r>
              <w:rPr>
                <w:rFonts w:hint="eastAsia" w:ascii="方正仿宋_GBK" w:eastAsia="方正仿宋_GBK"/>
                <w:color w:val="auto"/>
                <w:spacing w:val="-4"/>
                <w:sz w:val="22"/>
                <w:szCs w:val="22"/>
                <w:highlight w:val="none"/>
                <w:lang w:val="en-US" w:eastAsia="zh-CN"/>
              </w:rPr>
              <w:t xml:space="preserve">  </w:t>
            </w:r>
            <w:r>
              <w:rPr>
                <w:rFonts w:hint="eastAsia" w:ascii="方正仿宋_GBK" w:eastAsia="方正仿宋_GBK"/>
                <w:color w:val="auto"/>
                <w:spacing w:val="-4"/>
                <w:sz w:val="22"/>
                <w:szCs w:val="22"/>
                <w:highlight w:val="none"/>
              </w:rPr>
              <w:t xml:space="preserve"> 月 </w:t>
            </w:r>
            <w:r>
              <w:rPr>
                <w:rFonts w:hint="eastAsia" w:ascii="方正仿宋_GBK" w:eastAsia="方正仿宋_GBK"/>
                <w:color w:val="auto"/>
                <w:spacing w:val="-4"/>
                <w:sz w:val="22"/>
                <w:szCs w:val="22"/>
                <w:highlight w:val="none"/>
                <w:lang w:val="en-US" w:eastAsia="zh-CN"/>
              </w:rPr>
              <w:t xml:space="preserve"> </w:t>
            </w:r>
            <w:r>
              <w:rPr>
                <w:rFonts w:hint="eastAsia" w:ascii="方正仿宋_GBK" w:eastAsia="方正仿宋_GBK"/>
                <w:color w:val="auto"/>
                <w:spacing w:val="-4"/>
                <w:sz w:val="22"/>
                <w:szCs w:val="22"/>
                <w:highlight w:val="none"/>
              </w:rPr>
              <w:t xml:space="preserve"> 日</w:t>
            </w:r>
          </w:p>
        </w:tc>
      </w:tr>
    </w:tbl>
    <w:p w14:paraId="015C95AA">
      <w:pPr>
        <w:pStyle w:val="2"/>
        <w:rPr>
          <w:rFonts w:hint="eastAsia"/>
          <w:b/>
          <w:bCs/>
          <w:color w:val="auto"/>
          <w:highlight w:val="none"/>
        </w:rPr>
      </w:pPr>
    </w:p>
    <w:p w14:paraId="6FB9B66C">
      <w:bookmarkStart w:id="0" w:name="_GoBack"/>
      <w:bookmarkEnd w:id="0"/>
    </w:p>
    <w:sectPr>
      <w:footerReference r:id="rId3" w:type="default"/>
      <w:pgSz w:w="11906" w:h="16838"/>
      <w:pgMar w:top="1440" w:right="1440" w:bottom="1440" w:left="1440"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1" w:csb1="00000000"/>
  </w:font>
  <w:font w:name="方正楷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56C52">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0FF5B71">
                          <w:pPr>
                            <w:pStyle w:val="4"/>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path/>
              <v:fill on="f" focussize="0,0"/>
              <v:stroke on="f"/>
              <v:imagedata o:title=""/>
              <o:lock v:ext="edit" aspectratio="f"/>
              <v:textbox inset="0mm,0mm,0mm,0mm" style="mso-fit-shape-to-text:t;">
                <w:txbxContent>
                  <w:p w14:paraId="00FF5B71">
                    <w:pPr>
                      <w:pStyle w:val="4"/>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4N2NlNDM1ODA2ZTM5MmVkZjIxYjk3M2M1OTIwZDMifQ=="/>
  </w:docVars>
  <w:rsids>
    <w:rsidRoot w:val="00000000"/>
    <w:rsid w:val="1F323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alloon Text"/>
    <w:basedOn w:val="1"/>
    <w:qFormat/>
    <w:uiPriority w:val="0"/>
    <w:rPr>
      <w:sz w:val="18"/>
    </w:rPr>
  </w:style>
  <w:style w:type="paragraph" w:styleId="3">
    <w:name w:val="Body Text"/>
    <w:basedOn w:val="1"/>
    <w:qFormat/>
    <w:uiPriority w:val="0"/>
    <w:pPr>
      <w:spacing w:after="120" w:afterLines="0"/>
    </w:pPr>
  </w:style>
  <w:style w:type="paragraph" w:styleId="4">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Office_12.1.0.17440_F1E327BC-269C-435d-A152-05C5408002CA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2024-07-24T07:54:15Z</dcterms:created>
  <dc:creator>chenjianan</dc:creator>
  <cp:lastModifiedBy>并连网络-涂晓玲</cp:lastModifiedBy>
  <dcterms:modified xsi:type="dcterms:W3CDTF">2024-07-24T07:54:19Z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2052-12.1.0.17440</vt:lpwstr>
  </property>
  <property fmtid="{D5CDD505-2E9C-101B-9397-08002B2CF9AE}" pid="3" name="ICV">
    <vt:lpwstr>54C52724E38945138B27AD57A5EA8117_12</vt:lpwstr>
  </property>
</Properties>
</file>